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AC" w:rsidRDefault="009F22AC" w:rsidP="00E67C6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E67C6F" w:rsidRPr="002B66FF" w:rsidRDefault="006214FA" w:rsidP="00E67C6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Miasto Jelenia Góra </w:t>
      </w:r>
      <w:r w:rsidR="007C0538"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 ogłasza </w:t>
      </w:r>
      <w:r w:rsidR="002B66FF"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od dnia 12.08.2024 r.  </w:t>
      </w:r>
      <w:r w:rsidR="007C0538" w:rsidRPr="002B66FF">
        <w:rPr>
          <w:rFonts w:eastAsia="Times New Roman" w:cstheme="minorHAnsi"/>
          <w:b/>
          <w:sz w:val="24"/>
          <w:szCs w:val="24"/>
          <w:lang w:eastAsia="pl-PL"/>
        </w:rPr>
        <w:t>nabór wniosków</w:t>
      </w:r>
      <w:r w:rsidR="002B66FF"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C0538" w:rsidRPr="002B66FF">
        <w:rPr>
          <w:rFonts w:eastAsia="Times New Roman" w:cstheme="minorHAnsi"/>
          <w:b/>
          <w:sz w:val="24"/>
          <w:szCs w:val="24"/>
          <w:lang w:eastAsia="pl-PL"/>
        </w:rPr>
        <w:t>o dofinansowanie</w:t>
      </w:r>
    </w:p>
    <w:p w:rsidR="007C0538" w:rsidRPr="002B66FF" w:rsidRDefault="007C0538" w:rsidP="00E67C6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67C6F" w:rsidRPr="002B66FF">
        <w:rPr>
          <w:rFonts w:eastAsia="Times New Roman" w:cstheme="minorHAnsi"/>
          <w:b/>
          <w:sz w:val="24"/>
          <w:szCs w:val="24"/>
          <w:lang w:eastAsia="pl-PL"/>
        </w:rPr>
        <w:t>w ramach Programu P</w:t>
      </w:r>
      <w:r w:rsidR="00A508CC" w:rsidRPr="002B66FF">
        <w:rPr>
          <w:rFonts w:eastAsia="Times New Roman" w:cstheme="minorHAnsi"/>
          <w:b/>
          <w:sz w:val="24"/>
          <w:szCs w:val="24"/>
          <w:lang w:eastAsia="pl-PL"/>
        </w:rPr>
        <w:t>r</w:t>
      </w:r>
      <w:r w:rsidR="00E67C6F"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iorytetowego „Ciepłe Mieszkanie” </w:t>
      </w:r>
      <w:r w:rsidR="009F26C9"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 nabór II </w:t>
      </w:r>
      <w:r w:rsidRPr="002B66FF">
        <w:rPr>
          <w:rFonts w:eastAsia="Times New Roman" w:cstheme="minorHAnsi"/>
          <w:b/>
          <w:sz w:val="24"/>
          <w:szCs w:val="24"/>
          <w:lang w:eastAsia="pl-PL"/>
        </w:rPr>
        <w:t xml:space="preserve">na terenie </w:t>
      </w:r>
      <w:r w:rsidR="006214FA" w:rsidRPr="002B66FF">
        <w:rPr>
          <w:rFonts w:eastAsia="Times New Roman" w:cstheme="minorHAnsi"/>
          <w:b/>
          <w:sz w:val="24"/>
          <w:szCs w:val="24"/>
          <w:lang w:eastAsia="pl-PL"/>
        </w:rPr>
        <w:t>miasta Jelenia Góra</w:t>
      </w:r>
    </w:p>
    <w:p w:rsid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W ramach programu istnieje możliwość finansowania przedsięwzięć rozpoczętych nie wcześniej niż od dnia podpisania umowy o dofinansowanie </w:t>
      </w:r>
      <w:r w:rsidR="00F32035">
        <w:rPr>
          <w:rFonts w:eastAsia="Times New Roman" w:cstheme="minorHAnsi"/>
          <w:lang w:eastAsia="pl-PL"/>
        </w:rPr>
        <w:t xml:space="preserve">przez Beneficjenta </w:t>
      </w:r>
      <w:r w:rsidRPr="00A77FE2">
        <w:rPr>
          <w:rFonts w:eastAsia="Times New Roman" w:cstheme="minorHAnsi"/>
          <w:lang w:eastAsia="pl-PL"/>
        </w:rPr>
        <w:t xml:space="preserve">z </w:t>
      </w:r>
      <w:r w:rsidR="00A77FE2">
        <w:rPr>
          <w:rFonts w:eastAsia="Times New Roman" w:cstheme="minorHAnsi"/>
          <w:lang w:eastAsia="pl-PL"/>
        </w:rPr>
        <w:t>M</w:t>
      </w:r>
      <w:r w:rsidR="006214FA" w:rsidRPr="00A77FE2">
        <w:rPr>
          <w:rFonts w:eastAsia="Times New Roman" w:cstheme="minorHAnsi"/>
          <w:lang w:eastAsia="pl-PL"/>
        </w:rPr>
        <w:t>iastem Jelenia Góra</w:t>
      </w:r>
      <w:r w:rsidRPr="00A77FE2">
        <w:rPr>
          <w:rFonts w:eastAsia="Times New Roman" w:cstheme="minorHAnsi"/>
          <w:lang w:eastAsia="pl-PL"/>
        </w:rPr>
        <w:t xml:space="preserve">. 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Termin zakończenia realizacji przedsięwzięcia to </w:t>
      </w:r>
      <w:r w:rsidR="006214FA" w:rsidRPr="00A77FE2">
        <w:rPr>
          <w:rFonts w:eastAsia="Times New Roman" w:cstheme="minorHAnsi"/>
          <w:b/>
          <w:bCs/>
          <w:lang w:eastAsia="pl-PL"/>
        </w:rPr>
        <w:t>9</w:t>
      </w:r>
      <w:r w:rsidR="00331BF1">
        <w:rPr>
          <w:rFonts w:eastAsia="Times New Roman" w:cstheme="minorHAnsi"/>
          <w:b/>
          <w:bCs/>
          <w:lang w:eastAsia="pl-PL"/>
        </w:rPr>
        <w:t xml:space="preserve"> m</w:t>
      </w:r>
      <w:r w:rsidRPr="00A77FE2">
        <w:rPr>
          <w:rFonts w:eastAsia="Times New Roman" w:cstheme="minorHAnsi"/>
          <w:b/>
          <w:bCs/>
          <w:lang w:eastAsia="pl-PL"/>
        </w:rPr>
        <w:t xml:space="preserve">iesięcy </w:t>
      </w:r>
      <w:r w:rsidR="00331BF1">
        <w:rPr>
          <w:rFonts w:eastAsia="Times New Roman" w:cstheme="minorHAnsi"/>
          <w:b/>
          <w:bCs/>
          <w:lang w:eastAsia="pl-PL"/>
        </w:rPr>
        <w:t xml:space="preserve">dla najemców lokali mieszkalnych </w:t>
      </w:r>
      <w:r w:rsidR="00204FDB">
        <w:rPr>
          <w:rFonts w:eastAsia="Times New Roman" w:cstheme="minorHAnsi"/>
          <w:b/>
          <w:bCs/>
          <w:lang w:eastAsia="pl-PL"/>
        </w:rPr>
        <w:t>i</w:t>
      </w:r>
      <w:r w:rsidR="00331BF1">
        <w:rPr>
          <w:rFonts w:eastAsia="Times New Roman" w:cstheme="minorHAnsi"/>
          <w:b/>
          <w:bCs/>
          <w:lang w:eastAsia="pl-PL"/>
        </w:rPr>
        <w:t xml:space="preserve"> 12 miesięcy dla wspólnot mieszkaniowych </w:t>
      </w:r>
      <w:r w:rsidRPr="00A77FE2">
        <w:rPr>
          <w:rFonts w:eastAsia="Times New Roman" w:cstheme="minorHAnsi"/>
          <w:b/>
          <w:bCs/>
          <w:lang w:eastAsia="pl-PL"/>
        </w:rPr>
        <w:t>od dnia podpisania ww. umowy, jednak nie później niż do</w:t>
      </w:r>
      <w:r w:rsidR="00A508CC">
        <w:rPr>
          <w:rFonts w:eastAsia="Times New Roman" w:cstheme="minorHAnsi"/>
          <w:b/>
          <w:bCs/>
          <w:lang w:eastAsia="pl-PL"/>
        </w:rPr>
        <w:t xml:space="preserve"> dnia </w:t>
      </w:r>
      <w:r w:rsidRPr="00A77FE2">
        <w:rPr>
          <w:rFonts w:eastAsia="Times New Roman" w:cstheme="minorHAnsi"/>
          <w:b/>
          <w:bCs/>
          <w:lang w:eastAsia="pl-PL"/>
        </w:rPr>
        <w:t>31.12.2025 r.</w:t>
      </w:r>
      <w:r w:rsidRPr="00A77FE2">
        <w:rPr>
          <w:rFonts w:eastAsia="Times New Roman" w:cstheme="minorHAnsi"/>
          <w:lang w:eastAsia="pl-PL"/>
        </w:rPr>
        <w:t xml:space="preserve"> Nabór trwać będzie</w:t>
      </w:r>
      <w:r w:rsidRPr="00A77FE2">
        <w:rPr>
          <w:rFonts w:eastAsia="Times New Roman" w:cstheme="minorHAnsi"/>
          <w:b/>
          <w:bCs/>
          <w:lang w:eastAsia="pl-PL"/>
        </w:rPr>
        <w:t xml:space="preserve"> do</w:t>
      </w:r>
      <w:r w:rsidR="00A508CC">
        <w:rPr>
          <w:rFonts w:eastAsia="Times New Roman" w:cstheme="minorHAnsi"/>
          <w:b/>
          <w:bCs/>
          <w:lang w:eastAsia="pl-PL"/>
        </w:rPr>
        <w:t xml:space="preserve"> dnia </w:t>
      </w:r>
      <w:r w:rsidRPr="00A77FE2">
        <w:rPr>
          <w:rFonts w:eastAsia="Times New Roman" w:cstheme="minorHAnsi"/>
          <w:b/>
          <w:bCs/>
          <w:lang w:eastAsia="pl-PL"/>
        </w:rPr>
        <w:t>31.10.2025 r</w:t>
      </w:r>
      <w:r w:rsidR="00364B42">
        <w:rPr>
          <w:rFonts w:eastAsia="Times New Roman" w:cstheme="minorHAnsi"/>
          <w:b/>
          <w:bCs/>
          <w:lang w:eastAsia="pl-PL"/>
        </w:rPr>
        <w:t>.</w:t>
      </w:r>
      <w:r w:rsidRPr="00A77FE2">
        <w:rPr>
          <w:rFonts w:eastAsia="Times New Roman" w:cstheme="minorHAnsi"/>
          <w:lang w:eastAsia="pl-PL"/>
        </w:rPr>
        <w:t>, lub do wyczerpania alokacji.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Alokacja środków przeznaczona na nabór </w:t>
      </w:r>
      <w:r w:rsidR="009F26C9">
        <w:rPr>
          <w:rFonts w:eastAsia="Times New Roman" w:cstheme="minorHAnsi"/>
          <w:b/>
          <w:bCs/>
          <w:lang w:eastAsia="pl-PL"/>
        </w:rPr>
        <w:t>5 241 000</w:t>
      </w:r>
      <w:r w:rsidRPr="00A77FE2">
        <w:rPr>
          <w:rFonts w:eastAsia="Times New Roman" w:cstheme="minorHAnsi"/>
          <w:b/>
          <w:bCs/>
          <w:lang w:eastAsia="pl-PL"/>
        </w:rPr>
        <w:t>,00 zł.</w:t>
      </w:r>
    </w:p>
    <w:p w:rsidR="009F26C9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Liczba planowanych do dofinansowania </w:t>
      </w:r>
      <w:r w:rsidR="009F26C9">
        <w:rPr>
          <w:rFonts w:eastAsia="Times New Roman" w:cstheme="minorHAnsi"/>
          <w:lang w:eastAsia="pl-PL"/>
        </w:rPr>
        <w:t>:</w:t>
      </w:r>
    </w:p>
    <w:p w:rsidR="007C0538" w:rsidRPr="00F23121" w:rsidRDefault="007C0538" w:rsidP="009F26C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F23121">
        <w:rPr>
          <w:rFonts w:asciiTheme="minorHAnsi" w:hAnsiTheme="minorHAnsi" w:cstheme="minorHAnsi"/>
          <w:sz w:val="22"/>
          <w:szCs w:val="22"/>
        </w:rPr>
        <w:t xml:space="preserve">lokali mieszkalnych </w:t>
      </w:r>
      <w:r w:rsidR="00F23121" w:rsidRPr="00F23121">
        <w:rPr>
          <w:rFonts w:asciiTheme="minorHAnsi" w:hAnsiTheme="minorHAnsi" w:cstheme="minorHAnsi"/>
          <w:sz w:val="22"/>
          <w:szCs w:val="22"/>
        </w:rPr>
        <w:t xml:space="preserve">stanowiących własność gminy </w:t>
      </w:r>
      <w:r w:rsidR="009F26C9" w:rsidRPr="00F23121">
        <w:rPr>
          <w:rFonts w:asciiTheme="minorHAnsi" w:hAnsiTheme="minorHAnsi" w:cstheme="minorHAnsi"/>
          <w:bCs/>
          <w:sz w:val="22"/>
          <w:szCs w:val="22"/>
        </w:rPr>
        <w:t>30</w:t>
      </w:r>
      <w:r w:rsidRPr="00F23121">
        <w:rPr>
          <w:rFonts w:asciiTheme="minorHAnsi" w:hAnsiTheme="minorHAnsi" w:cstheme="minorHAnsi"/>
          <w:bCs/>
          <w:sz w:val="22"/>
          <w:szCs w:val="22"/>
        </w:rPr>
        <w:t> sztuk</w:t>
      </w:r>
      <w:r w:rsidR="009F26C9" w:rsidRPr="00F23121">
        <w:rPr>
          <w:rFonts w:asciiTheme="minorHAnsi" w:hAnsiTheme="minorHAnsi" w:cstheme="minorHAnsi"/>
          <w:bCs/>
          <w:sz w:val="22"/>
          <w:szCs w:val="22"/>
        </w:rPr>
        <w:t>,</w:t>
      </w:r>
    </w:p>
    <w:p w:rsidR="009F26C9" w:rsidRPr="002E2A00" w:rsidRDefault="009F26C9" w:rsidP="009F26C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2E2A00">
        <w:rPr>
          <w:rFonts w:asciiTheme="minorHAnsi" w:hAnsiTheme="minorHAnsi" w:cstheme="minorHAnsi"/>
          <w:sz w:val="22"/>
          <w:szCs w:val="22"/>
        </w:rPr>
        <w:t>wspólnot mieszkaniowych 30 sztuk.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Wnioski mogą składać Beneficjenci uprawnieni do podstawowego, podwyższonego lub naj</w:t>
      </w:r>
      <w:r w:rsidR="00677B59">
        <w:rPr>
          <w:rFonts w:eastAsia="Times New Roman" w:cstheme="minorHAnsi"/>
          <w:lang w:eastAsia="pl-PL"/>
        </w:rPr>
        <w:t>wyższego poziomu dofinansowania oraz wspólnoty mieszkaniowe od 3 do 7 lokali</w:t>
      </w:r>
      <w:r w:rsidR="00CE7504">
        <w:rPr>
          <w:rFonts w:eastAsia="Times New Roman" w:cstheme="minorHAnsi"/>
          <w:lang w:eastAsia="pl-PL"/>
        </w:rPr>
        <w:t xml:space="preserve"> mieszkalnych</w:t>
      </w:r>
      <w:r w:rsidR="00677B59">
        <w:rPr>
          <w:rFonts w:eastAsia="Times New Roman" w:cstheme="minorHAnsi"/>
          <w:lang w:eastAsia="pl-PL"/>
        </w:rPr>
        <w:t xml:space="preserve">. </w:t>
      </w:r>
    </w:p>
    <w:p w:rsidR="007C0538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77FE2">
        <w:rPr>
          <w:rFonts w:eastAsia="Times New Roman" w:cstheme="minorHAnsi"/>
          <w:b/>
          <w:bCs/>
          <w:lang w:eastAsia="pl-PL"/>
        </w:rPr>
        <w:t>Dla kogo dofinansowanie?</w:t>
      </w:r>
    </w:p>
    <w:p w:rsidR="00F23121" w:rsidRDefault="004F762B" w:rsidP="0040544B">
      <w:pPr>
        <w:spacing w:after="0" w:line="240" w:lineRule="auto"/>
        <w:jc w:val="both"/>
      </w:pPr>
      <w:r>
        <w:t>Osoba fizyczna posiadająca tytuł prawny do lokalu mieszkalnego znajdującego się w budy</w:t>
      </w:r>
      <w:r w:rsidR="00F23121">
        <w:t xml:space="preserve">nku mieszkalnym wielorodzinnym wynikający z najmu lokalu </w:t>
      </w:r>
      <w:r w:rsidR="00F23121" w:rsidRPr="00F23121">
        <w:t xml:space="preserve">mieszkalnego stanowiącego własność gminy wchodzącego w skład mieszkaniowego zasobu gminy w rozumieniu ustawy z dnia 21 czerwca 2021 r. o ochronie praw lokatorów, mieszkaniowym zasobie gminy i o zmianie Kodeksu cywilnego, jeżeli nie wszystkie lokale mieszkalne w tym </w:t>
      </w:r>
      <w:r w:rsidR="00F23121">
        <w:t>budynku stanowią własność gminy</w:t>
      </w:r>
    </w:p>
    <w:p w:rsidR="00F23121" w:rsidRDefault="00F23121" w:rsidP="0040544B">
      <w:pPr>
        <w:spacing w:after="0" w:line="240" w:lineRule="auto"/>
        <w:jc w:val="both"/>
      </w:pPr>
      <w:r>
        <w:t>o</w:t>
      </w:r>
      <w:r w:rsidR="004F762B">
        <w:t>raz</w:t>
      </w:r>
    </w:p>
    <w:p w:rsidR="004F762B" w:rsidRDefault="004F762B" w:rsidP="0040544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t>wspólnot</w:t>
      </w:r>
      <w:r w:rsidR="0040544B">
        <w:t>a</w:t>
      </w:r>
      <w:r>
        <w:t xml:space="preserve"> mieszkaniow</w:t>
      </w:r>
      <w:r w:rsidR="0040544B">
        <w:t>a</w:t>
      </w:r>
      <w:r>
        <w:t xml:space="preserve"> </w:t>
      </w:r>
      <w:r w:rsidR="0040544B" w:rsidRPr="0040544B">
        <w:t xml:space="preserve">(w rozumieniu ustawy z dnia 24 czerwca 1994 r. o własności lokali) </w:t>
      </w:r>
      <w:r w:rsidR="0040544B">
        <w:br/>
        <w:t xml:space="preserve">obejmująca od  </w:t>
      </w:r>
      <w:r>
        <w:t>3 do 7 lokali mieszkalnych.</w:t>
      </w:r>
    </w:p>
    <w:p w:rsidR="00ED16C2" w:rsidRPr="00791582" w:rsidRDefault="00C2563D" w:rsidP="00ED16C2">
      <w:pPr>
        <w:spacing w:before="100" w:beforeAutospacing="1" w:after="100" w:afterAutospacing="1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791582">
        <w:rPr>
          <w:rFonts w:eastAsia="Times New Roman" w:cstheme="minorHAnsi"/>
          <w:u w:val="single"/>
          <w:lang w:eastAsia="pl-PL"/>
        </w:rPr>
        <w:t>N</w:t>
      </w:r>
      <w:r w:rsidR="002E2A00" w:rsidRPr="00791582">
        <w:rPr>
          <w:rFonts w:eastAsia="Times New Roman" w:cstheme="minorHAnsi"/>
          <w:u w:val="single"/>
          <w:lang w:eastAsia="pl-PL"/>
        </w:rPr>
        <w:t>ajemcy lokali mieszkalnych wchodzących w skład</w:t>
      </w:r>
      <w:r w:rsidRPr="00791582">
        <w:rPr>
          <w:rFonts w:eastAsia="Times New Roman" w:cstheme="minorHAnsi"/>
          <w:u w:val="single"/>
          <w:lang w:eastAsia="pl-PL"/>
        </w:rPr>
        <w:t xml:space="preserve"> gminnego zasobu mieszkaniowego (tzw. „</w:t>
      </w:r>
      <w:r w:rsidR="000810F2" w:rsidRPr="00791582">
        <w:rPr>
          <w:rFonts w:eastAsia="Times New Roman" w:cstheme="minorHAnsi"/>
          <w:u w:val="single"/>
          <w:lang w:eastAsia="pl-PL"/>
        </w:rPr>
        <w:t>m</w:t>
      </w:r>
      <w:r w:rsidRPr="00791582">
        <w:rPr>
          <w:rFonts w:eastAsia="Times New Roman" w:cstheme="minorHAnsi"/>
          <w:u w:val="single"/>
          <w:lang w:eastAsia="pl-PL"/>
        </w:rPr>
        <w:t>ieszkania komunalne”)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1) Dla </w:t>
      </w:r>
      <w:r w:rsidR="00F32035">
        <w:rPr>
          <w:rFonts w:eastAsia="Times New Roman" w:cstheme="minorHAnsi"/>
          <w:lang w:eastAsia="pl-PL"/>
        </w:rPr>
        <w:t>Beneficjentów</w:t>
      </w:r>
      <w:r w:rsidRPr="00A77FE2">
        <w:rPr>
          <w:rFonts w:eastAsia="Times New Roman" w:cstheme="minorHAnsi"/>
          <w:lang w:eastAsia="pl-PL"/>
        </w:rPr>
        <w:t xml:space="preserve"> uprawnionych do </w:t>
      </w:r>
      <w:r w:rsidRPr="00364B42">
        <w:rPr>
          <w:rFonts w:eastAsia="Times New Roman" w:cstheme="minorHAnsi"/>
          <w:b/>
          <w:lang w:eastAsia="pl-PL"/>
        </w:rPr>
        <w:t>podstawowego poziomu dofinansowania</w:t>
      </w:r>
      <w:r w:rsidRPr="00A77FE2">
        <w:rPr>
          <w:rFonts w:eastAsia="Times New Roman" w:cstheme="minorHAnsi"/>
          <w:lang w:eastAsia="pl-PL"/>
        </w:rPr>
        <w:t>:</w:t>
      </w:r>
    </w:p>
    <w:p w:rsidR="007C0538" w:rsidRPr="00A77FE2" w:rsidRDefault="007C0538" w:rsidP="004054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544B">
        <w:rPr>
          <w:rFonts w:eastAsia="Times New Roman" w:cstheme="minorHAnsi"/>
          <w:lang w:eastAsia="pl-PL"/>
        </w:rPr>
        <w:t>Beneficjentem jest osoba fizyczna o dochodzie rocznym nieprzekraczającym kwoty</w:t>
      </w:r>
      <w:r w:rsidR="00364B42" w:rsidRPr="0040544B">
        <w:rPr>
          <w:rFonts w:eastAsia="Times New Roman" w:cstheme="minorHAnsi"/>
          <w:lang w:eastAsia="pl-PL"/>
        </w:rPr>
        <w:br/>
      </w:r>
      <w:r w:rsidRPr="0040544B">
        <w:rPr>
          <w:rFonts w:eastAsia="Times New Roman" w:cstheme="minorHAnsi"/>
          <w:lang w:eastAsia="pl-PL"/>
        </w:rPr>
        <w:t>1</w:t>
      </w:r>
      <w:r w:rsidR="009F26C9" w:rsidRPr="0040544B">
        <w:rPr>
          <w:rFonts w:eastAsia="Times New Roman" w:cstheme="minorHAnsi"/>
          <w:lang w:eastAsia="pl-PL"/>
        </w:rPr>
        <w:t>35</w:t>
      </w:r>
      <w:r w:rsidRPr="0040544B">
        <w:rPr>
          <w:rFonts w:eastAsia="Times New Roman" w:cstheme="minorHAnsi"/>
          <w:lang w:eastAsia="pl-PL"/>
        </w:rPr>
        <w:t xml:space="preserve"> 000 zł, posiadająca tytuł prawny </w:t>
      </w:r>
      <w:r w:rsidR="0040544B" w:rsidRPr="0040544B">
        <w:rPr>
          <w:rFonts w:eastAsia="Times New Roman" w:cstheme="minorHAnsi"/>
          <w:lang w:eastAsia="pl-PL"/>
        </w:rPr>
        <w:t xml:space="preserve">najmu lokalu 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gminy, </w:t>
      </w:r>
      <w:r w:rsidRPr="0040544B">
        <w:rPr>
          <w:rFonts w:eastAsia="Times New Roman" w:cstheme="minorHAnsi"/>
          <w:lang w:eastAsia="pl-PL"/>
        </w:rPr>
        <w:t>znajdującego się w budynku mieszkalnym wielorodzinnym, realizująca przedsięwzięcie będące przedmiotem dofinansowania: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a) stanowiącym podstawę obliczenia podatku, wykazanym w ostatnio złożonym zeznaniu podatkowym zgodnie z ustawą o podatku dochodowym od osób fizycznych;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lastRenderedPageBreak/>
        <w:t>b) ustalonym:</w:t>
      </w:r>
    </w:p>
    <w:p w:rsidR="007C0538" w:rsidRPr="00A77FE2" w:rsidRDefault="007C0538" w:rsidP="00621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zgodnie z wartościami określonymi w załączniku do obwieszczenia ministra właściwego do spraw rodziny w sprawie wysokości dochodu za dany rok</w:t>
      </w:r>
      <w:r w:rsidR="00A77FE2">
        <w:rPr>
          <w:rFonts w:eastAsia="Times New Roman" w:cstheme="minorHAnsi"/>
          <w:lang w:eastAsia="pl-PL"/>
        </w:rPr>
        <w:t xml:space="preserve"> </w:t>
      </w:r>
      <w:r w:rsidRPr="00A77FE2">
        <w:rPr>
          <w:rFonts w:eastAsia="Times New Roman" w:cstheme="minorHAnsi"/>
          <w:lang w:eastAsia="pl-PL"/>
        </w:rPr>
        <w:t>z działalności podlegającej opodatkowaniu na podstawie przepisów o zryczałtowanym podatku dochodowym od niektórych przychodów osiąganych przez osoby fizyczne, obowiązującego na dzień złożenia wniosku oraz</w:t>
      </w:r>
    </w:p>
    <w:p w:rsidR="007C0538" w:rsidRPr="00A77FE2" w:rsidRDefault="007C0538" w:rsidP="006214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c)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d) niepodlegającym opodatkowaniu na podstawie przepisów o podatku dochodowym od osób fizycznych i mieszczącym się pod względem rodzaju w katalogu zawartym w art. 3 lit. c) ustawy 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t>o świadczeniach rodzinnych, osiągniętym w roku kalendarzowym poprzedzającym rok złożenia wniosku o dofinansowanie, wykazanym w odpowiednim dokumencie. W przypadku uzyskiwania dochodów z różnych źródeł określonych powyżej w lit. a) -d), dochody te sumuje się, przy czym suma ta nie może przekroczyć kwoty 1</w:t>
      </w:r>
      <w:r w:rsidR="009F26C9">
        <w:rPr>
          <w:rFonts w:eastAsia="Times New Roman" w:cstheme="minorHAnsi"/>
          <w:lang w:eastAsia="pl-PL"/>
        </w:rPr>
        <w:t>35</w:t>
      </w:r>
      <w:r w:rsidRPr="00A77FE2">
        <w:rPr>
          <w:rFonts w:eastAsia="Times New Roman" w:cstheme="minorHAnsi"/>
          <w:lang w:eastAsia="pl-PL"/>
        </w:rPr>
        <w:t xml:space="preserve"> 000 zł.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64B42">
        <w:rPr>
          <w:rFonts w:eastAsia="Times New Roman" w:cstheme="minorHAnsi"/>
          <w:b/>
          <w:lang w:eastAsia="pl-PL"/>
        </w:rPr>
        <w:t>Intensywność dofinansowania: do 3</w:t>
      </w:r>
      <w:r w:rsidR="009F26C9">
        <w:rPr>
          <w:rFonts w:eastAsia="Times New Roman" w:cstheme="minorHAnsi"/>
          <w:b/>
          <w:lang w:eastAsia="pl-PL"/>
        </w:rPr>
        <w:t>0</w:t>
      </w:r>
      <w:r w:rsidRPr="00364B42">
        <w:rPr>
          <w:rFonts w:eastAsia="Times New Roman" w:cstheme="minorHAnsi"/>
          <w:b/>
          <w:lang w:eastAsia="pl-PL"/>
        </w:rPr>
        <w:t xml:space="preserve">% faktycznie poniesionych kosztów kwalifikowalnych przedsięwzięcia realizowanego przez </w:t>
      </w:r>
      <w:r w:rsidR="00F32035" w:rsidRPr="00F32035">
        <w:rPr>
          <w:rFonts w:eastAsia="Times New Roman" w:cstheme="minorHAnsi"/>
          <w:b/>
          <w:lang w:eastAsia="pl-PL"/>
        </w:rPr>
        <w:t>Beneficjenta</w:t>
      </w:r>
      <w:r w:rsidRPr="00F32035">
        <w:rPr>
          <w:rFonts w:eastAsia="Times New Roman" w:cstheme="minorHAnsi"/>
          <w:b/>
          <w:lang w:eastAsia="pl-PL"/>
        </w:rPr>
        <w:t>,</w:t>
      </w:r>
      <w:r w:rsidRPr="00364B42">
        <w:rPr>
          <w:rFonts w:eastAsia="Times New Roman" w:cstheme="minorHAnsi"/>
          <w:b/>
          <w:lang w:eastAsia="pl-PL"/>
        </w:rPr>
        <w:t xml:space="preserve"> nie więcej niż 1</w:t>
      </w:r>
      <w:r w:rsidR="009F26C9">
        <w:rPr>
          <w:rFonts w:eastAsia="Times New Roman" w:cstheme="minorHAnsi"/>
          <w:b/>
          <w:lang w:eastAsia="pl-PL"/>
        </w:rPr>
        <w:t>6</w:t>
      </w:r>
      <w:r w:rsidR="001C2B37" w:rsidRPr="00364B42">
        <w:rPr>
          <w:rFonts w:eastAsia="Times New Roman" w:cstheme="minorHAnsi"/>
          <w:b/>
          <w:lang w:eastAsia="pl-PL"/>
        </w:rPr>
        <w:t xml:space="preserve"> </w:t>
      </w:r>
      <w:r w:rsidR="006214FA" w:rsidRPr="00364B42">
        <w:rPr>
          <w:rFonts w:eastAsia="Times New Roman" w:cstheme="minorHAnsi"/>
          <w:b/>
          <w:lang w:eastAsia="pl-PL"/>
        </w:rPr>
        <w:t>5</w:t>
      </w:r>
      <w:r w:rsidRPr="00364B42">
        <w:rPr>
          <w:rFonts w:eastAsia="Times New Roman" w:cstheme="minorHAnsi"/>
          <w:b/>
          <w:lang w:eastAsia="pl-PL"/>
        </w:rPr>
        <w:t>00,00 zł na jeden lokal mieszkalny</w:t>
      </w:r>
      <w:r w:rsidRPr="00A77FE2">
        <w:rPr>
          <w:rFonts w:eastAsia="Times New Roman" w:cstheme="minorHAnsi"/>
          <w:lang w:eastAsia="pl-PL"/>
        </w:rPr>
        <w:t>.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2) Dla </w:t>
      </w:r>
      <w:r w:rsidR="00F32035">
        <w:rPr>
          <w:rFonts w:eastAsia="Times New Roman" w:cstheme="minorHAnsi"/>
          <w:lang w:eastAsia="pl-PL"/>
        </w:rPr>
        <w:t>Beneficjentów</w:t>
      </w:r>
      <w:r w:rsidR="00F32035" w:rsidRPr="00A77FE2">
        <w:rPr>
          <w:rFonts w:eastAsia="Times New Roman" w:cstheme="minorHAnsi"/>
          <w:lang w:eastAsia="pl-PL"/>
        </w:rPr>
        <w:t xml:space="preserve"> </w:t>
      </w:r>
      <w:r w:rsidRPr="00A77FE2">
        <w:rPr>
          <w:rFonts w:eastAsia="Times New Roman" w:cstheme="minorHAnsi"/>
          <w:lang w:eastAsia="pl-PL"/>
        </w:rPr>
        <w:t xml:space="preserve">uprawnionych do </w:t>
      </w:r>
      <w:r w:rsidRPr="00364B42">
        <w:rPr>
          <w:rFonts w:eastAsia="Times New Roman" w:cstheme="minorHAnsi"/>
          <w:b/>
          <w:lang w:eastAsia="pl-PL"/>
        </w:rPr>
        <w:t>podwyższonego poziomu dofinansowania</w:t>
      </w:r>
      <w:r w:rsidRPr="00A77FE2">
        <w:rPr>
          <w:rFonts w:eastAsia="Times New Roman" w:cstheme="minorHAnsi"/>
          <w:lang w:eastAsia="pl-PL"/>
        </w:rPr>
        <w:t>: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Beneficjentem uprawnionym do podwyższonego poziomu dofinansowania jest osoba fizyczna realizująca przedsięwzięcie będące przedmiotem dofinansowania, która łącznie spełnia następujące warunki: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a) posiada tytuł prawny </w:t>
      </w:r>
      <w:r w:rsidR="0040544B" w:rsidRPr="0040544B">
        <w:rPr>
          <w:rFonts w:eastAsia="Times New Roman" w:cstheme="minorHAnsi"/>
          <w:lang w:eastAsia="pl-PL"/>
        </w:rPr>
        <w:t>najmu lokalu mieszkalnego stanowiącego własność gminy</w:t>
      </w:r>
      <w:r w:rsidR="0040544B">
        <w:rPr>
          <w:rFonts w:eastAsia="Times New Roman" w:cstheme="minorHAnsi"/>
          <w:lang w:eastAsia="pl-PL"/>
        </w:rPr>
        <w:t xml:space="preserve"> </w:t>
      </w:r>
      <w:r w:rsidR="00F34F64">
        <w:rPr>
          <w:rFonts w:eastAsia="Times New Roman" w:cstheme="minorHAnsi"/>
          <w:lang w:eastAsia="pl-PL"/>
        </w:rPr>
        <w:t>wchodzącego</w:t>
      </w:r>
      <w:r w:rsidR="00204FDB">
        <w:rPr>
          <w:rFonts w:eastAsia="Times New Roman" w:cstheme="minorHAnsi"/>
          <w:lang w:eastAsia="pl-PL"/>
        </w:rPr>
        <w:br/>
      </w:r>
      <w:r w:rsidR="00F34F64">
        <w:rPr>
          <w:rFonts w:eastAsia="Times New Roman" w:cstheme="minorHAnsi"/>
          <w:lang w:eastAsia="pl-PL"/>
        </w:rPr>
        <w:t xml:space="preserve"> w skład mieszkaniowego zasobu gminy, </w:t>
      </w:r>
      <w:r w:rsidRPr="00A77FE2">
        <w:rPr>
          <w:rFonts w:eastAsia="Times New Roman" w:cstheme="minorHAnsi"/>
          <w:lang w:eastAsia="pl-PL"/>
        </w:rPr>
        <w:t>znajdującego się w budynku mieszkalnym wielorodzinnym;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b) przeciętny miesięczny dochód na jednego członka jej gospodarstwa domowego wskazany 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t>w zaświadczeniu wydawanym zgodnie z art. 411 ust. 10g ustawy – Prawo ochrony środowiska, nie przekracza kwoty:</w:t>
      </w:r>
    </w:p>
    <w:p w:rsidR="007C0538" w:rsidRPr="00A77FE2" w:rsidRDefault="007C0538" w:rsidP="007C05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1 </w:t>
      </w:r>
      <w:r w:rsidR="009F26C9">
        <w:rPr>
          <w:rFonts w:eastAsia="Times New Roman" w:cstheme="minorHAnsi"/>
          <w:lang w:eastAsia="pl-PL"/>
        </w:rPr>
        <w:t>894</w:t>
      </w:r>
      <w:r w:rsidRPr="00A77FE2">
        <w:rPr>
          <w:rFonts w:eastAsia="Times New Roman" w:cstheme="minorHAnsi"/>
          <w:lang w:eastAsia="pl-PL"/>
        </w:rPr>
        <w:t xml:space="preserve"> zł w gospodarstwie wieloosobowym,</w:t>
      </w:r>
    </w:p>
    <w:p w:rsidR="007C0538" w:rsidRPr="00A77FE2" w:rsidRDefault="007C0538" w:rsidP="006214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2 </w:t>
      </w:r>
      <w:r w:rsidR="009F26C9">
        <w:rPr>
          <w:rFonts w:eastAsia="Times New Roman" w:cstheme="minorHAnsi"/>
          <w:lang w:eastAsia="pl-PL"/>
        </w:rPr>
        <w:t>651</w:t>
      </w:r>
      <w:r w:rsidRPr="00A77FE2">
        <w:rPr>
          <w:rFonts w:eastAsia="Times New Roman" w:cstheme="minorHAnsi"/>
          <w:lang w:eastAsia="pl-PL"/>
        </w:rPr>
        <w:t xml:space="preserve"> zł w gospodarstwie jednoosobowym.</w:t>
      </w:r>
    </w:p>
    <w:p w:rsidR="007C0538" w:rsidRPr="00A77FE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W przypadku prowadzenia działalności gospodarczej, roczny przychód osoby fizycznej, z tytułu prowadzenia pozarolniczej działalności gospodarczej za rok kalendarzowy, za który ustalony został przeciętny miesięczny dochód wskazany w zaświadczeniu, o którym mowa</w:t>
      </w:r>
      <w:r w:rsidR="00A77FE2">
        <w:rPr>
          <w:rFonts w:eastAsia="Times New Roman" w:cstheme="minorHAnsi"/>
          <w:lang w:eastAsia="pl-PL"/>
        </w:rPr>
        <w:t xml:space="preserve"> </w:t>
      </w:r>
      <w:r w:rsidRPr="00A77FE2">
        <w:rPr>
          <w:rFonts w:eastAsia="Times New Roman" w:cstheme="minorHAnsi"/>
          <w:lang w:eastAsia="pl-PL"/>
        </w:rPr>
        <w:t xml:space="preserve">w pkt 1) lit. b), nie przekroczył czterdziestokrotności kwoty minimalnego wynagrodzenia za pracę określonego 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lastRenderedPageBreak/>
        <w:t>w rozporządzeniu Rady Ministrów obowiązującym w grudniu roku poprzedzającego rok złożenia wniosku o dofinansowanie.</w:t>
      </w:r>
    </w:p>
    <w:p w:rsidR="007C0538" w:rsidRPr="00364B42" w:rsidRDefault="007C0538" w:rsidP="006214F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364B42">
        <w:rPr>
          <w:rFonts w:eastAsia="Times New Roman" w:cstheme="minorHAnsi"/>
          <w:b/>
          <w:lang w:eastAsia="pl-PL"/>
        </w:rPr>
        <w:t>Intensywność</w:t>
      </w:r>
      <w:r w:rsidR="00F32035">
        <w:rPr>
          <w:rFonts w:eastAsia="Times New Roman" w:cstheme="minorHAnsi"/>
          <w:b/>
          <w:lang w:eastAsia="pl-PL"/>
        </w:rPr>
        <w:t xml:space="preserve"> </w:t>
      </w:r>
      <w:r w:rsidRPr="00364B42">
        <w:rPr>
          <w:rFonts w:eastAsia="Times New Roman" w:cstheme="minorHAnsi"/>
          <w:b/>
          <w:lang w:eastAsia="pl-PL"/>
        </w:rPr>
        <w:t>dofinansowania: do 6</w:t>
      </w:r>
      <w:r w:rsidR="009F26C9">
        <w:rPr>
          <w:rFonts w:eastAsia="Times New Roman" w:cstheme="minorHAnsi"/>
          <w:b/>
          <w:lang w:eastAsia="pl-PL"/>
        </w:rPr>
        <w:t>0</w:t>
      </w:r>
      <w:r w:rsidRPr="00364B42">
        <w:rPr>
          <w:rFonts w:eastAsia="Times New Roman" w:cstheme="minorHAnsi"/>
          <w:b/>
          <w:lang w:eastAsia="pl-PL"/>
        </w:rPr>
        <w:t xml:space="preserve">% faktycznie poniesionych kosztów kwalifikowalnych przedsięwzięcia realizowanego przez </w:t>
      </w:r>
      <w:r w:rsidR="00F32035" w:rsidRPr="00F32035">
        <w:rPr>
          <w:rFonts w:eastAsia="Times New Roman" w:cstheme="minorHAnsi"/>
          <w:b/>
          <w:lang w:eastAsia="pl-PL"/>
        </w:rPr>
        <w:t>Beneficjenta,</w:t>
      </w:r>
      <w:r w:rsidRPr="00364B42">
        <w:rPr>
          <w:rFonts w:eastAsia="Times New Roman" w:cstheme="minorHAnsi"/>
          <w:b/>
          <w:lang w:eastAsia="pl-PL"/>
        </w:rPr>
        <w:t xml:space="preserve"> nie więcej niż 2</w:t>
      </w:r>
      <w:r w:rsidR="009F26C9">
        <w:rPr>
          <w:rFonts w:eastAsia="Times New Roman" w:cstheme="minorHAnsi"/>
          <w:b/>
          <w:lang w:eastAsia="pl-PL"/>
        </w:rPr>
        <w:t>7</w:t>
      </w:r>
      <w:r w:rsidRPr="00364B42">
        <w:rPr>
          <w:rFonts w:eastAsia="Times New Roman" w:cstheme="minorHAnsi"/>
          <w:b/>
          <w:lang w:eastAsia="pl-PL"/>
        </w:rPr>
        <w:t> </w:t>
      </w:r>
      <w:r w:rsidR="009F26C9">
        <w:rPr>
          <w:rFonts w:eastAsia="Times New Roman" w:cstheme="minorHAnsi"/>
          <w:b/>
          <w:lang w:eastAsia="pl-PL"/>
        </w:rPr>
        <w:t>5</w:t>
      </w:r>
      <w:r w:rsidRPr="00364B42">
        <w:rPr>
          <w:rFonts w:eastAsia="Times New Roman" w:cstheme="minorHAnsi"/>
          <w:b/>
          <w:lang w:eastAsia="pl-PL"/>
        </w:rPr>
        <w:t>00,00 zł na jeden lokal mieszkalny.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3. Dla </w:t>
      </w:r>
      <w:r w:rsidR="00F32035">
        <w:rPr>
          <w:rFonts w:eastAsia="Times New Roman" w:cstheme="minorHAnsi"/>
          <w:lang w:eastAsia="pl-PL"/>
        </w:rPr>
        <w:t>Beneficjentów</w:t>
      </w:r>
      <w:r w:rsidR="00F32035" w:rsidRPr="00A77FE2">
        <w:rPr>
          <w:rFonts w:eastAsia="Times New Roman" w:cstheme="minorHAnsi"/>
          <w:lang w:eastAsia="pl-PL"/>
        </w:rPr>
        <w:t xml:space="preserve"> </w:t>
      </w:r>
      <w:r w:rsidRPr="00A77FE2">
        <w:rPr>
          <w:rFonts w:eastAsia="Times New Roman" w:cstheme="minorHAnsi"/>
          <w:lang w:eastAsia="pl-PL"/>
        </w:rPr>
        <w:t xml:space="preserve">uprawnionych do </w:t>
      </w:r>
      <w:r w:rsidRPr="00364B42">
        <w:rPr>
          <w:rFonts w:eastAsia="Times New Roman" w:cstheme="minorHAnsi"/>
          <w:b/>
          <w:lang w:eastAsia="pl-PL"/>
        </w:rPr>
        <w:t>najwyższego poziomu dofinansowania</w:t>
      </w:r>
      <w:r w:rsidRPr="00A77FE2">
        <w:rPr>
          <w:rFonts w:eastAsia="Times New Roman" w:cstheme="minorHAnsi"/>
          <w:lang w:eastAsia="pl-PL"/>
        </w:rPr>
        <w:t>: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Beneficjentem uprawnionym do najwyższego poziomu dofinansowania jest osoba fizyczna realizująca przedsięwzięcie będące przedmiotem dofinansowania, która łącznie spełnia następujące warunki: 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a) posiada tytuł prawny </w:t>
      </w:r>
      <w:r w:rsidR="0040544B" w:rsidRPr="0040544B">
        <w:rPr>
          <w:rFonts w:eastAsia="Times New Roman" w:cstheme="minorHAnsi"/>
          <w:lang w:eastAsia="pl-PL"/>
        </w:rPr>
        <w:t xml:space="preserve">najmu lokalu mieszkalnego stanowiącego własność gminy </w:t>
      </w:r>
      <w:r w:rsidR="00F34F64">
        <w:rPr>
          <w:rFonts w:eastAsia="Times New Roman" w:cstheme="minorHAnsi"/>
          <w:lang w:eastAsia="pl-PL"/>
        </w:rPr>
        <w:t xml:space="preserve">wchodzącego </w:t>
      </w:r>
      <w:r w:rsidR="00204FDB">
        <w:rPr>
          <w:rFonts w:eastAsia="Times New Roman" w:cstheme="minorHAnsi"/>
          <w:lang w:eastAsia="pl-PL"/>
        </w:rPr>
        <w:br/>
      </w:r>
      <w:r w:rsidR="00F34F64">
        <w:rPr>
          <w:rFonts w:eastAsia="Times New Roman" w:cstheme="minorHAnsi"/>
          <w:lang w:eastAsia="pl-PL"/>
        </w:rPr>
        <w:t xml:space="preserve">w skład mieszkaniowego zasobu gminy, </w:t>
      </w:r>
      <w:r w:rsidRPr="00A77FE2">
        <w:rPr>
          <w:rFonts w:eastAsia="Times New Roman" w:cstheme="minorHAnsi"/>
          <w:lang w:eastAsia="pl-PL"/>
        </w:rPr>
        <w:t>znajdującego się w budynku mieszkalnym wielorodzinnym;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b) przeciętny miesięczny dochód na jednego członka jej gospodarstwa domowego wskazany 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t>w zaświadczeniu wydawanym zgodnie z art. 411 ust. 10g ustawy – Prawo ochrony środowiska, nie przekracza kwoty:</w:t>
      </w:r>
    </w:p>
    <w:p w:rsidR="007C0538" w:rsidRPr="00A77FE2" w:rsidRDefault="009F26C9" w:rsidP="002B28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1090</w:t>
      </w:r>
      <w:r w:rsidR="007C0538" w:rsidRPr="00A77FE2">
        <w:rPr>
          <w:rFonts w:eastAsia="Times New Roman" w:cstheme="minorHAnsi"/>
          <w:lang w:eastAsia="pl-PL"/>
        </w:rPr>
        <w:t xml:space="preserve"> zł w gospodarstwie wieloosobowym,</w:t>
      </w:r>
    </w:p>
    <w:p w:rsidR="007C0538" w:rsidRPr="00A77FE2" w:rsidRDefault="009F26C9" w:rsidP="002B28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1526</w:t>
      </w:r>
      <w:r w:rsidR="007C0538" w:rsidRPr="00A77FE2">
        <w:rPr>
          <w:rFonts w:eastAsia="Times New Roman" w:cstheme="minorHAnsi"/>
          <w:lang w:eastAsia="pl-PL"/>
        </w:rPr>
        <w:t xml:space="preserve"> zł w gospodarstwie jednoosobowym;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lub ma ustalone prawo do otrzymywania zasiłku stałego, zasiłku okresowego, zasiłku rodzinnego lub specjalnego zasiłku opiekuńczego, potwierdzone w za</w:t>
      </w:r>
      <w:r w:rsidR="00925DA3">
        <w:rPr>
          <w:rFonts w:eastAsia="Times New Roman" w:cstheme="minorHAnsi"/>
          <w:lang w:eastAsia="pl-PL"/>
        </w:rPr>
        <w:t>świadczeniu wydanym na wniosek B</w:t>
      </w:r>
      <w:r w:rsidRPr="00A77FE2">
        <w:rPr>
          <w:rFonts w:eastAsia="Times New Roman" w:cstheme="minorHAnsi"/>
          <w:lang w:eastAsia="pl-PL"/>
        </w:rPr>
        <w:t xml:space="preserve">eneficjenta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</w:t>
      </w:r>
      <w:r w:rsidR="00A77FE2">
        <w:rPr>
          <w:rFonts w:eastAsia="Times New Roman" w:cstheme="minorHAnsi"/>
          <w:lang w:eastAsia="pl-PL"/>
        </w:rPr>
        <w:t xml:space="preserve"> </w:t>
      </w:r>
      <w:r w:rsidRPr="00A77FE2">
        <w:rPr>
          <w:rFonts w:eastAsia="Times New Roman" w:cstheme="minorHAnsi"/>
          <w:lang w:eastAsia="pl-PL"/>
        </w:rPr>
        <w:t>o dofinansowanie.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W przypadku prowadzenia działalności gospodarczej przez osobę, która przedstawiła zaświadczenie 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t>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 grudniu roku poprzedzającego rok złożenia wniosku</w:t>
      </w:r>
      <w:r w:rsidR="00EF2326">
        <w:rPr>
          <w:rFonts w:eastAsia="Times New Roman" w:cstheme="minorHAnsi"/>
          <w:lang w:eastAsia="pl-PL"/>
        </w:rPr>
        <w:br/>
      </w:r>
      <w:r w:rsidRPr="00A77FE2">
        <w:rPr>
          <w:rFonts w:eastAsia="Times New Roman" w:cstheme="minorHAnsi"/>
          <w:lang w:eastAsia="pl-PL"/>
        </w:rPr>
        <w:t>o dofinansowanie.</w:t>
      </w:r>
    </w:p>
    <w:p w:rsidR="007C0538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364B42">
        <w:rPr>
          <w:rFonts w:eastAsia="Times New Roman" w:cstheme="minorHAnsi"/>
          <w:b/>
          <w:lang w:eastAsia="pl-PL"/>
        </w:rPr>
        <w:t>Intensywność dofinansowania: do 9</w:t>
      </w:r>
      <w:r w:rsidR="009F26C9">
        <w:rPr>
          <w:rFonts w:eastAsia="Times New Roman" w:cstheme="minorHAnsi"/>
          <w:b/>
          <w:lang w:eastAsia="pl-PL"/>
        </w:rPr>
        <w:t>0</w:t>
      </w:r>
      <w:r w:rsidRPr="00364B42">
        <w:rPr>
          <w:rFonts w:eastAsia="Times New Roman" w:cstheme="minorHAnsi"/>
          <w:b/>
          <w:lang w:eastAsia="pl-PL"/>
        </w:rPr>
        <w:t xml:space="preserve">% faktycznie poniesionych kosztów kwalifikowalnych przedsięwzięcia realizowanego przez </w:t>
      </w:r>
      <w:r w:rsidR="00925DA3" w:rsidRPr="00F32035">
        <w:rPr>
          <w:rFonts w:eastAsia="Times New Roman" w:cstheme="minorHAnsi"/>
          <w:b/>
          <w:lang w:eastAsia="pl-PL"/>
        </w:rPr>
        <w:t>Beneficjenta,</w:t>
      </w:r>
      <w:r w:rsidRPr="00364B42">
        <w:rPr>
          <w:rFonts w:eastAsia="Times New Roman" w:cstheme="minorHAnsi"/>
          <w:b/>
          <w:lang w:eastAsia="pl-PL"/>
        </w:rPr>
        <w:t xml:space="preserve"> nie więcej niż </w:t>
      </w:r>
      <w:r w:rsidR="009F26C9">
        <w:rPr>
          <w:rFonts w:eastAsia="Times New Roman" w:cstheme="minorHAnsi"/>
          <w:b/>
          <w:lang w:eastAsia="pl-PL"/>
        </w:rPr>
        <w:t>41 0</w:t>
      </w:r>
      <w:r w:rsidRPr="00364B42">
        <w:rPr>
          <w:rFonts w:eastAsia="Times New Roman" w:cstheme="minorHAnsi"/>
          <w:b/>
          <w:lang w:eastAsia="pl-PL"/>
        </w:rPr>
        <w:t>00,00 zł na jeden lokal mieszkalny.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b/>
          <w:bCs/>
          <w:lang w:eastAsia="pl-PL"/>
        </w:rPr>
        <w:t>Na co można przeznaczyć dofinansowanie?</w:t>
      </w:r>
    </w:p>
    <w:p w:rsidR="007C0538" w:rsidRDefault="007C0538" w:rsidP="00A77FE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Wymagany jest demontaż wszystkich nieefektywnych źródeł ciepła na paliwa stałe służących do ogrzewania lokalu mieszkalnego.</w:t>
      </w:r>
    </w:p>
    <w:p w:rsidR="00EC06F2" w:rsidRPr="00A77FE2" w:rsidRDefault="00EC06F2" w:rsidP="00EC06F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C06F2">
        <w:rPr>
          <w:rFonts w:eastAsia="Times New Roman" w:cstheme="minorHAnsi"/>
          <w:lang w:eastAsia="pl-PL"/>
        </w:rPr>
        <w:t>Wymieniane źródło ciepła na paliwo stałe musi być trwale wyłączone z użytku.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Potwierdzeniem trwałego wyłączenia z użytku źródła ciepła na paliwo stałe jest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 xml:space="preserve">imienny dokument </w:t>
      </w:r>
      <w:r w:rsidRPr="00EC06F2">
        <w:rPr>
          <w:rFonts w:eastAsia="Times New Roman" w:cstheme="minorHAnsi"/>
          <w:lang w:eastAsia="pl-PL"/>
        </w:rPr>
        <w:lastRenderedPageBreak/>
        <w:t>zezłomowania/karta przekazania odpadu/formularza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przyjęcia odpadów metali. Dopuszcza się pozostawienie w lokalu mieszkalnym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pieców kaflowych lub kominków niespełniających wymagań ekoprojektu oraz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docelowych wymagań aktów prawa miejscowego (w tym uchwał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antysmogowych, jednak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muszą być one trwale odłączone od przewodu kominowego, co oznacza trwałe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 xml:space="preserve">wyłączenie </w:t>
      </w:r>
      <w:r w:rsidR="00F34F64">
        <w:rPr>
          <w:rFonts w:eastAsia="Times New Roman" w:cstheme="minorHAnsi"/>
          <w:lang w:eastAsia="pl-PL"/>
        </w:rPr>
        <w:br/>
      </w:r>
      <w:r w:rsidRPr="00EC06F2">
        <w:rPr>
          <w:rFonts w:eastAsia="Times New Roman" w:cstheme="minorHAnsi"/>
          <w:lang w:eastAsia="pl-PL"/>
        </w:rPr>
        <w:t>z użytku i musi być to potwierdzone odpowiednim protokołem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kominiarskim wydan</w:t>
      </w:r>
      <w:r>
        <w:rPr>
          <w:rFonts w:eastAsia="Times New Roman" w:cstheme="minorHAnsi"/>
          <w:lang w:eastAsia="pl-PL"/>
        </w:rPr>
        <w:t xml:space="preserve">ym przez mistrza kominiarskiego. 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b/>
          <w:bCs/>
          <w:lang w:eastAsia="pl-PL"/>
        </w:rPr>
        <w:t>Program wspiera zastosowanie:</w:t>
      </w:r>
    </w:p>
    <w:p w:rsidR="007C0538" w:rsidRPr="00A77FE2" w:rsidRDefault="007C0538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kotła gazowego kondensacyjnego,</w:t>
      </w:r>
    </w:p>
    <w:p w:rsidR="007C0538" w:rsidRDefault="007C0538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kotła na pelet drzewny o podwyższonym standardzie,</w:t>
      </w:r>
    </w:p>
    <w:p w:rsidR="009F26C9" w:rsidRPr="00A77FE2" w:rsidRDefault="009F26C9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kotła zgazowującego drewno </w:t>
      </w:r>
      <w:r w:rsidRPr="00A77FE2">
        <w:rPr>
          <w:rFonts w:eastAsia="Times New Roman" w:cstheme="minorHAnsi"/>
          <w:lang w:eastAsia="pl-PL"/>
        </w:rPr>
        <w:t>o podwyższonym standardzie</w:t>
      </w:r>
      <w:r>
        <w:rPr>
          <w:rFonts w:eastAsia="Times New Roman" w:cstheme="minorHAnsi"/>
          <w:lang w:eastAsia="pl-PL"/>
        </w:rPr>
        <w:t>,</w:t>
      </w:r>
    </w:p>
    <w:p w:rsidR="007C0538" w:rsidRPr="00A77FE2" w:rsidRDefault="007C0538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ogrzewania elektrycznego,</w:t>
      </w:r>
    </w:p>
    <w:p w:rsidR="007C0538" w:rsidRPr="00A77FE2" w:rsidRDefault="007C0538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pompy ciepła powietrze/woda lub pompy ciepła powietrze/powietrze</w:t>
      </w:r>
    </w:p>
    <w:p w:rsidR="007C0538" w:rsidRPr="00A77FE2" w:rsidRDefault="007C0538" w:rsidP="007C0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podłączenie lokalu do wspólnego efektywnego źródła ciepła.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b/>
          <w:bCs/>
          <w:lang w:eastAsia="pl-PL"/>
        </w:rPr>
        <w:t>Dodatkowo możliwe będzie wykonanie:</w:t>
      </w:r>
    </w:p>
    <w:p w:rsidR="007C0538" w:rsidRPr="00A77FE2" w:rsidRDefault="007C0538" w:rsidP="007C0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instalacji centralnego ogrzewania i ciepłej wody użytkowej w lokalu mieszkalnym,</w:t>
      </w:r>
    </w:p>
    <w:p w:rsidR="007C0538" w:rsidRPr="00A77FE2" w:rsidRDefault="007C0538" w:rsidP="007C0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instalacji gazowej od przyłącza gazowego / zbiornika na gaz do kotła,</w:t>
      </w:r>
    </w:p>
    <w:p w:rsidR="00204FDB" w:rsidRPr="00204FDB" w:rsidRDefault="007C0538" w:rsidP="007C0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04FDB">
        <w:rPr>
          <w:rFonts w:eastAsia="Times New Roman" w:cstheme="minorHAnsi"/>
          <w:lang w:eastAsia="pl-PL"/>
        </w:rPr>
        <w:t>wymiany okien</w:t>
      </w:r>
      <w:r w:rsidR="00204FDB" w:rsidRPr="00204FDB">
        <w:rPr>
          <w:rFonts w:ascii="Lato" w:eastAsia="Times New Roman" w:hAnsi="Lato" w:cs="Times New Roman"/>
          <w:sz w:val="20"/>
          <w:szCs w:val="20"/>
          <w:lang w:eastAsia="pl-PL"/>
        </w:rPr>
        <w:t xml:space="preserve"> ( max 0,9 [W/m</w:t>
      </w:r>
      <w:r w:rsidR="00204FDB" w:rsidRPr="00204FDB">
        <w:rPr>
          <w:rFonts w:ascii="Lato" w:eastAsia="Times New Roman" w:hAnsi="Lato" w:cs="Times New Roman"/>
          <w:sz w:val="20"/>
          <w:szCs w:val="20"/>
          <w:vertAlign w:val="superscript"/>
          <w:lang w:eastAsia="pl-PL"/>
        </w:rPr>
        <w:t>2</w:t>
      </w:r>
      <w:r w:rsidR="00204FDB" w:rsidRPr="00204FDB">
        <w:rPr>
          <w:rFonts w:ascii="Lato" w:eastAsia="Times New Roman" w:hAnsi="Lato" w:cs="Times New Roman"/>
          <w:sz w:val="20"/>
          <w:szCs w:val="20"/>
          <w:lang w:eastAsia="pl-PL"/>
        </w:rPr>
        <w:t>*K] - współczynnik przenika ciepła)   i drzwi oddzielających lokal od przestrzeni nieogrzewanej lub środowiska zewnętrznego ( max 1,3 [W/m</w:t>
      </w:r>
      <w:r w:rsidR="00204FDB" w:rsidRPr="00204FDB">
        <w:rPr>
          <w:rFonts w:ascii="Lato" w:eastAsia="Times New Roman" w:hAnsi="Lato" w:cs="Times New Roman"/>
          <w:sz w:val="20"/>
          <w:szCs w:val="20"/>
          <w:vertAlign w:val="superscript"/>
          <w:lang w:eastAsia="pl-PL"/>
        </w:rPr>
        <w:t>2</w:t>
      </w:r>
      <w:r w:rsidR="00204FDB" w:rsidRPr="00204FDB">
        <w:rPr>
          <w:rFonts w:ascii="Lato" w:eastAsia="Times New Roman" w:hAnsi="Lato" w:cs="Times New Roman"/>
          <w:sz w:val="20"/>
          <w:szCs w:val="20"/>
          <w:lang w:eastAsia="pl-PL"/>
        </w:rPr>
        <w:t xml:space="preserve">*K] - współczynnik przenika ciepła) </w:t>
      </w:r>
      <w:r w:rsidR="00204FDB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:rsidR="007C0538" w:rsidRPr="00A77FE2" w:rsidRDefault="007C0538" w:rsidP="007C0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wentylacji mechanicznej z odzyskiem ciepła w lokalu mieszkalnym,</w:t>
      </w:r>
    </w:p>
    <w:p w:rsidR="007C0538" w:rsidRDefault="007C0538" w:rsidP="007C05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dokumentacji projektowej dotyczącej powyższego zakresu.</w:t>
      </w:r>
    </w:p>
    <w:p w:rsidR="006A35CC" w:rsidRDefault="006A35CC" w:rsidP="006A35C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t>UWAGA</w:t>
      </w:r>
      <w:r w:rsidR="000F47AE">
        <w:t>:</w:t>
      </w:r>
      <w:r>
        <w:t xml:space="preserve"> Program „Ciepłe Mieszkanie” nie dofinansowuje wyłącznie wymiany stolarki okiennej i/lub drzwiowej w lokalach mieszkalnych znajdujących się w budynkach wielorodzinnych. Wymiana stolarki możliwa jest pod warunkiem demontażu wszystkich nieefektywnych źródeł ciepła na paliwa stałe (tzw. „kopciuchów”) służących do ogrzewania lokalu oraz zakupu i montażu efektywnego źródła ciepła w tym lokalu.</w:t>
      </w: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77FE2">
        <w:rPr>
          <w:rFonts w:eastAsia="Times New Roman" w:cstheme="minorHAnsi"/>
          <w:b/>
          <w:lang w:eastAsia="pl-PL"/>
        </w:rPr>
        <w:t>Minimalne wymagania techniczne w Programie:</w:t>
      </w:r>
    </w:p>
    <w:p w:rsidR="007C0538" w:rsidRPr="00A77FE2" w:rsidRDefault="007C0538" w:rsidP="002B28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</w:t>
      </w:r>
    </w:p>
    <w:p w:rsidR="007C0538" w:rsidRDefault="007C0538" w:rsidP="002B282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>Jeżeli wynika to z przepisów prawa, usługi muszą być wykonane przez osoby lub podmioty posiadające stosowne uprawienia i pozwolenia oraz przeprowadzone zgodnie z obowiązującym prawem i normami.</w:t>
      </w:r>
    </w:p>
    <w:p w:rsidR="00677B59" w:rsidRPr="00A77FE2" w:rsidRDefault="00677B59" w:rsidP="00677B59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77FE2">
        <w:rPr>
          <w:rFonts w:eastAsia="Times New Roman" w:cstheme="minorHAnsi"/>
          <w:b/>
          <w:lang w:eastAsia="pl-PL"/>
        </w:rPr>
        <w:t>Informacje niezbędne do sprawnego wypełnienia wniosku: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Imię, nazwisko, PESEL, tel. kontaktowy, adres zamieszkania, adres e-mail wnioskodawcy.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Imię, nazwisko, adres zamieszkania współ</w:t>
      </w:r>
      <w:r w:rsidR="00F34F64">
        <w:rPr>
          <w:rFonts w:asciiTheme="minorHAnsi" w:hAnsiTheme="minorHAnsi" w:cstheme="minorHAnsi"/>
          <w:sz w:val="22"/>
          <w:szCs w:val="22"/>
        </w:rPr>
        <w:t>najemcy</w:t>
      </w:r>
      <w:r w:rsidRPr="00A77FE2">
        <w:rPr>
          <w:rFonts w:asciiTheme="minorHAnsi" w:hAnsiTheme="minorHAnsi" w:cstheme="minorHAnsi"/>
          <w:sz w:val="22"/>
          <w:szCs w:val="22"/>
        </w:rPr>
        <w:t xml:space="preserve"> (jeśli dotyczy).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Imię, nazwisko, PESEL, adres zamieszkania współmałżonka (jeśli dotyczy).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Adres zamieszkania/przedsięwzięcia.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lastRenderedPageBreak/>
        <w:t>Numer rachunku bankowego.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Numer księgi wieczystej, numer działki.</w:t>
      </w:r>
    </w:p>
    <w:p w:rsidR="00677B59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Powierzchnia całkowita lokalu mieszkalnego.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 xml:space="preserve">Powierzchnia </w:t>
      </w:r>
      <w:r>
        <w:rPr>
          <w:rFonts w:asciiTheme="minorHAnsi" w:hAnsiTheme="minorHAnsi" w:cstheme="minorHAnsi"/>
          <w:sz w:val="22"/>
          <w:szCs w:val="22"/>
        </w:rPr>
        <w:t xml:space="preserve">ogrzewana </w:t>
      </w:r>
      <w:r w:rsidRPr="00A77FE2">
        <w:rPr>
          <w:rFonts w:asciiTheme="minorHAnsi" w:hAnsiTheme="minorHAnsi" w:cstheme="minorHAnsi"/>
          <w:sz w:val="22"/>
          <w:szCs w:val="22"/>
        </w:rPr>
        <w:t>lokalu mieszkalnego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Informacje o uzyskanym dochodzie za 202</w:t>
      </w:r>
      <w:r w:rsidR="00204FD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204FDB">
        <w:rPr>
          <w:rFonts w:asciiTheme="minorHAnsi" w:hAnsiTheme="minorHAnsi" w:cstheme="minorHAnsi"/>
          <w:sz w:val="22"/>
          <w:szCs w:val="22"/>
        </w:rPr>
        <w:t>4</w:t>
      </w:r>
      <w:r w:rsidRPr="00A77FE2">
        <w:rPr>
          <w:rFonts w:asciiTheme="minorHAnsi" w:hAnsiTheme="minorHAnsi" w:cstheme="minorHAnsi"/>
          <w:sz w:val="22"/>
          <w:szCs w:val="22"/>
        </w:rPr>
        <w:t xml:space="preserve"> r. Wnioskodawcy (np. z PIT, ilość ha przeliczeniowego itp.).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Rodzaj dotychczasowego źródła ciepła i ich ilość.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Średnia i</w:t>
      </w:r>
      <w:r w:rsidRPr="00A77FE2">
        <w:rPr>
          <w:rFonts w:asciiTheme="minorHAnsi" w:hAnsiTheme="minorHAnsi" w:cstheme="minorHAnsi"/>
          <w:sz w:val="22"/>
          <w:szCs w:val="22"/>
        </w:rPr>
        <w:t xml:space="preserve">lość zużywanego </w:t>
      </w:r>
      <w:r>
        <w:rPr>
          <w:rFonts w:asciiTheme="minorHAnsi" w:hAnsiTheme="minorHAnsi" w:cstheme="minorHAnsi"/>
          <w:sz w:val="22"/>
          <w:szCs w:val="22"/>
        </w:rPr>
        <w:t>paliwa stałopalnego w ciągu roku</w:t>
      </w:r>
      <w:r w:rsidRPr="00A77FE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7B59" w:rsidRPr="00A77FE2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W przypadku wymiany stolarki okiennej i/lub drzwiowej – ilość okien/drzwi.</w:t>
      </w:r>
    </w:p>
    <w:p w:rsidR="00677B59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77FE2">
        <w:rPr>
          <w:rFonts w:asciiTheme="minorHAnsi" w:hAnsiTheme="minorHAnsi" w:cstheme="minorHAnsi"/>
          <w:sz w:val="22"/>
          <w:szCs w:val="22"/>
        </w:rPr>
        <w:t>Zaświadczenie o dochodach w gospodarst</w:t>
      </w:r>
      <w:r>
        <w:rPr>
          <w:rFonts w:asciiTheme="minorHAnsi" w:hAnsiTheme="minorHAnsi" w:cstheme="minorHAnsi"/>
          <w:sz w:val="22"/>
          <w:szCs w:val="22"/>
        </w:rPr>
        <w:t>wie domowym na 1 członka za 2022/2023</w:t>
      </w:r>
      <w:r w:rsidR="00204FDB">
        <w:rPr>
          <w:rFonts w:asciiTheme="minorHAnsi" w:hAnsiTheme="minorHAnsi" w:cstheme="minorHAnsi"/>
          <w:sz w:val="22"/>
          <w:szCs w:val="22"/>
        </w:rPr>
        <w:t>/2024</w:t>
      </w:r>
      <w:r w:rsidRPr="00A77FE2">
        <w:rPr>
          <w:rFonts w:asciiTheme="minorHAnsi" w:hAnsiTheme="minorHAnsi" w:cstheme="minorHAnsi"/>
          <w:sz w:val="22"/>
          <w:szCs w:val="22"/>
        </w:rPr>
        <w:t xml:space="preserve"> rok – </w:t>
      </w:r>
      <w:r w:rsidRPr="00A77FE2">
        <w:rPr>
          <w:rFonts w:asciiTheme="minorHAnsi" w:hAnsiTheme="minorHAnsi" w:cstheme="minorHAnsi"/>
          <w:sz w:val="22"/>
          <w:szCs w:val="22"/>
        </w:rPr>
        <w:br/>
        <w:t xml:space="preserve">w przypadku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77FE2">
        <w:rPr>
          <w:rFonts w:asciiTheme="minorHAnsi" w:hAnsiTheme="minorHAnsi" w:cstheme="minorHAnsi"/>
          <w:sz w:val="22"/>
          <w:szCs w:val="22"/>
        </w:rPr>
        <w:t>eneficjenta uprawnionego do podwyższonego lub najwyższego poziomu dofinansowania nie starsze niż 3 miesiące i wystawione nie później niż data złożenia wniosku.</w:t>
      </w:r>
      <w:r w:rsidR="00204F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7B59" w:rsidRPr="00BA5991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A5991">
        <w:rPr>
          <w:rFonts w:asciiTheme="minorHAnsi" w:hAnsiTheme="minorHAnsi" w:cstheme="minorHAnsi"/>
          <w:sz w:val="22"/>
          <w:szCs w:val="22"/>
        </w:rPr>
        <w:t>Kopia aktualnego dokumentu potwierdzającego tytuł prawny do lokalu mieszkalnego</w:t>
      </w:r>
      <w:r w:rsidR="00B80BA2">
        <w:rPr>
          <w:rFonts w:asciiTheme="minorHAnsi" w:hAnsiTheme="minorHAnsi" w:cstheme="minorHAnsi"/>
          <w:sz w:val="22"/>
          <w:szCs w:val="22"/>
        </w:rPr>
        <w:t xml:space="preserve"> (umowa najmu).</w:t>
      </w:r>
    </w:p>
    <w:p w:rsidR="00677B59" w:rsidRPr="00BA5991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A5991">
        <w:rPr>
          <w:rFonts w:asciiTheme="minorHAnsi" w:hAnsiTheme="minorHAnsi" w:cstheme="minorHAnsi"/>
          <w:sz w:val="22"/>
          <w:szCs w:val="22"/>
        </w:rPr>
        <w:t>Kopia ostatnio złożonego zeznania podatkowego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02AB4" w:rsidRPr="00602AB4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</w:pPr>
      <w:r w:rsidRPr="00602AB4">
        <w:rPr>
          <w:rFonts w:asciiTheme="minorHAnsi" w:hAnsiTheme="minorHAnsi" w:cstheme="minorHAnsi"/>
          <w:sz w:val="22"/>
          <w:szCs w:val="22"/>
        </w:rPr>
        <w:t>Kopia decyzji przedsiębiorstwa ciepłowniczego dotycząca warunków przyłączenia do sieci ciepłowniczej wydana dla budynku wielorodzinnego, o ile została wydana w okresie 12 miesięcy przed dniem złożenia wniosku o dofinansowanie (w przypadku włączenia się do cieci cieplnej)</w:t>
      </w:r>
      <w:r w:rsidR="00602A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7B59" w:rsidRPr="00602AB4" w:rsidRDefault="00677B59" w:rsidP="00677B59">
      <w:pPr>
        <w:pStyle w:val="Akapitzlist"/>
        <w:numPr>
          <w:ilvl w:val="1"/>
          <w:numId w:val="5"/>
        </w:numPr>
        <w:spacing w:line="240" w:lineRule="auto"/>
        <w:ind w:left="426"/>
        <w:rPr>
          <w:rFonts w:asciiTheme="minorHAnsi" w:hAnsiTheme="minorHAnsi" w:cstheme="minorHAnsi"/>
        </w:rPr>
      </w:pPr>
      <w:r w:rsidRPr="00602AB4">
        <w:rPr>
          <w:rFonts w:asciiTheme="minorHAnsi" w:hAnsiTheme="minorHAnsi" w:cstheme="minorHAnsi"/>
          <w:sz w:val="22"/>
          <w:szCs w:val="22"/>
        </w:rPr>
        <w:t xml:space="preserve"> </w:t>
      </w:r>
      <w:r w:rsidR="00602AB4">
        <w:rPr>
          <w:rFonts w:asciiTheme="minorHAnsi" w:hAnsiTheme="minorHAnsi" w:cstheme="minorHAnsi"/>
          <w:sz w:val="22"/>
          <w:szCs w:val="22"/>
        </w:rPr>
        <w:t>Z</w:t>
      </w:r>
      <w:r w:rsidR="00602AB4" w:rsidRPr="00602AB4">
        <w:rPr>
          <w:rFonts w:asciiTheme="minorHAnsi" w:hAnsiTheme="minorHAnsi" w:cstheme="minorHAnsi"/>
          <w:sz w:val="22"/>
          <w:szCs w:val="22"/>
        </w:rPr>
        <w:t>goda Zakładu Gospodarki Komunalnej i Mieszkaniowej w Jeleniej Górze  na realizację przedsięwzięcia</w:t>
      </w:r>
      <w:r w:rsidR="00602A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2AB4" w:rsidRPr="00602AB4" w:rsidRDefault="00602AB4" w:rsidP="00602AB4">
      <w:pPr>
        <w:pStyle w:val="Akapitzlist"/>
        <w:spacing w:line="240" w:lineRule="auto"/>
        <w:ind w:left="426"/>
      </w:pPr>
    </w:p>
    <w:p w:rsidR="00677B59" w:rsidRDefault="000F47AE" w:rsidP="00677B59">
      <w:pPr>
        <w:pStyle w:val="Default"/>
        <w:jc w:val="both"/>
        <w:rPr>
          <w:sz w:val="22"/>
          <w:szCs w:val="22"/>
        </w:rPr>
      </w:pPr>
      <w:r w:rsidRPr="004525E8">
        <w:rPr>
          <w:i/>
          <w:sz w:val="22"/>
          <w:szCs w:val="22"/>
        </w:rPr>
        <w:t>UWAGA</w:t>
      </w:r>
      <w:r>
        <w:rPr>
          <w:sz w:val="22"/>
          <w:szCs w:val="22"/>
        </w:rPr>
        <w:t>:</w:t>
      </w:r>
      <w:r w:rsidR="00677B59">
        <w:rPr>
          <w:sz w:val="22"/>
          <w:szCs w:val="22"/>
        </w:rPr>
        <w:t xml:space="preserve"> Otrzymanie dofinansowania na zakup i montaż indywidulanego źródła ciepła w lokalu mieszkalnym nie jest możliwe w przypadku, gdy dla budynku mieszkalnego wielorodzinnego, </w:t>
      </w:r>
      <w:r w:rsidR="00677B59">
        <w:rPr>
          <w:sz w:val="22"/>
          <w:szCs w:val="22"/>
        </w:rPr>
        <w:br/>
        <w:t>w którym znajduje się lokal, którego dotyczy wniosek, jest podłączony do sieci ciepłowniczej</w:t>
      </w:r>
      <w:r w:rsidR="00602AB4">
        <w:rPr>
          <w:sz w:val="22"/>
          <w:szCs w:val="22"/>
        </w:rPr>
        <w:t xml:space="preserve">. </w:t>
      </w:r>
      <w:r w:rsidR="00677B59">
        <w:rPr>
          <w:sz w:val="22"/>
          <w:szCs w:val="22"/>
        </w:rPr>
        <w:t xml:space="preserve"> </w:t>
      </w:r>
    </w:p>
    <w:p w:rsidR="002E398B" w:rsidRDefault="002E398B" w:rsidP="001328B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4) </w:t>
      </w:r>
      <w:r w:rsidRPr="002E2A00">
        <w:rPr>
          <w:rFonts w:eastAsia="Times New Roman" w:cstheme="minorHAnsi"/>
          <w:b/>
          <w:sz w:val="24"/>
          <w:szCs w:val="24"/>
          <w:lang w:eastAsia="pl-PL"/>
        </w:rPr>
        <w:t>wspólnoty mieszkaniowe - całe budynki posiadające od 3 do 7 lokali mieszkalnych</w:t>
      </w:r>
      <w:r w:rsidRPr="002E2A00">
        <w:rPr>
          <w:rFonts w:eastAsia="Times New Roman" w:cstheme="minorHAnsi"/>
          <w:b/>
          <w:sz w:val="24"/>
          <w:szCs w:val="24"/>
          <w:lang w:eastAsia="pl-PL"/>
        </w:rPr>
        <w:br/>
      </w:r>
      <w:r w:rsidR="00455F57">
        <w:rPr>
          <w:rFonts w:eastAsia="Times New Roman" w:cstheme="minorHAnsi"/>
          <w:lang w:eastAsia="pl-PL"/>
        </w:rPr>
        <w:t>(</w:t>
      </w:r>
      <w:r w:rsidR="001328B7" w:rsidRPr="001328B7">
        <w:rPr>
          <w:rFonts w:eastAsia="Times New Roman" w:cstheme="minorHAnsi"/>
          <w:lang w:eastAsia="pl-PL"/>
        </w:rPr>
        <w:t>w rozumieniu ustawy z dnia 24 czerwca 1994</w:t>
      </w:r>
      <w:r w:rsidR="001328B7">
        <w:rPr>
          <w:rFonts w:eastAsia="Times New Roman" w:cstheme="minorHAnsi"/>
          <w:lang w:eastAsia="pl-PL"/>
        </w:rPr>
        <w:t xml:space="preserve"> </w:t>
      </w:r>
      <w:r w:rsidR="001328B7" w:rsidRPr="001328B7">
        <w:rPr>
          <w:rFonts w:eastAsia="Times New Roman" w:cstheme="minorHAnsi"/>
          <w:lang w:eastAsia="pl-PL"/>
        </w:rPr>
        <w:t>r. o własności lokali) obejmująca od 3 do 7 lokali mieszkalnych.</w:t>
      </w:r>
    </w:p>
    <w:p w:rsidR="00455F57" w:rsidRDefault="0070178B" w:rsidP="00455F57">
      <w:pPr>
        <w:spacing w:after="0" w:line="240" w:lineRule="auto"/>
        <w:jc w:val="both"/>
        <w:rPr>
          <w:rStyle w:val="markedcontent"/>
          <w:rFonts w:cstheme="minorHAnsi"/>
        </w:rPr>
      </w:pPr>
      <w:r w:rsidRPr="001F4A3A">
        <w:rPr>
          <w:rStyle w:val="markedcontent"/>
          <w:rFonts w:cstheme="minorHAnsi"/>
          <w:b/>
        </w:rPr>
        <w:t>I.</w:t>
      </w:r>
      <w:r w:rsidRPr="0070178B">
        <w:rPr>
          <w:rStyle w:val="markedcontent"/>
          <w:rFonts w:cstheme="minorHAnsi"/>
        </w:rPr>
        <w:t xml:space="preserve"> Przedsięwzięcie obejmujące demontaż wszystkich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nieefektywnych źródeł ciepła na paliwo stałe służących na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potrzeby 100% powierzchni ogrzewanej w budynku oraz zakup i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montaż wspólnego źródła ciepła do celów ogrzewania lub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ogrzewania i c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w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u.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Gdy wniosek beneficjenta końcowego obejmuje dofinansowanie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przedsięwzięcia określonego w zdaniu pierwszym dopuszcza się</w:t>
      </w:r>
      <w:r w:rsidR="00455F57"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wykonanie (więcej niż jednego elementu z zakresu):</w:t>
      </w:r>
    </w:p>
    <w:p w:rsidR="00455F57" w:rsidRDefault="0070178B" w:rsidP="00455F57">
      <w:pPr>
        <w:spacing w:after="0" w:line="240" w:lineRule="auto"/>
        <w:jc w:val="both"/>
        <w:rPr>
          <w:rStyle w:val="markedcontent"/>
          <w:rFonts w:cstheme="minorHAnsi"/>
        </w:rPr>
      </w:pPr>
      <w:r w:rsidRPr="0070178B">
        <w:rPr>
          <w:rStyle w:val="markedcontent"/>
          <w:rFonts w:cstheme="minorHAnsi"/>
        </w:rPr>
        <w:t>- demontażu oraz zakupu i montażu nowej instalacji centralnego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ogrzewania i/lub c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w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u (w tym kolektorów słonecznych i pompy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ciepła do samej c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w</w:t>
      </w:r>
      <w:r w:rsidR="00455F57">
        <w:rPr>
          <w:rStyle w:val="markedcontent"/>
          <w:rFonts w:cstheme="minorHAnsi"/>
        </w:rPr>
        <w:t>.</w:t>
      </w:r>
      <w:r w:rsidRPr="0070178B">
        <w:rPr>
          <w:rStyle w:val="markedcontent"/>
          <w:rFonts w:cstheme="minorHAnsi"/>
        </w:rPr>
        <w:t>u ),</w:t>
      </w:r>
    </w:p>
    <w:p w:rsidR="00455F57" w:rsidRDefault="0070178B" w:rsidP="00455F57">
      <w:pPr>
        <w:spacing w:after="0" w:line="240" w:lineRule="auto"/>
        <w:jc w:val="both"/>
        <w:rPr>
          <w:rStyle w:val="markedcontent"/>
          <w:rFonts w:cstheme="minorHAnsi"/>
        </w:rPr>
      </w:pPr>
      <w:r w:rsidRPr="0070178B">
        <w:rPr>
          <w:rStyle w:val="markedcontent"/>
          <w:rFonts w:cstheme="minorHAnsi"/>
        </w:rPr>
        <w:t>-zakupu i montażu wentylacji mechanicznej z odzyskiem ciepła,</w:t>
      </w:r>
    </w:p>
    <w:p w:rsidR="00455F57" w:rsidRDefault="0070178B" w:rsidP="00455F57">
      <w:pPr>
        <w:spacing w:after="0" w:line="240" w:lineRule="auto"/>
        <w:jc w:val="both"/>
        <w:rPr>
          <w:rStyle w:val="markedcontent"/>
          <w:rFonts w:cstheme="minorHAnsi"/>
        </w:rPr>
      </w:pPr>
      <w:r w:rsidRPr="0070178B">
        <w:rPr>
          <w:rStyle w:val="markedcontent"/>
          <w:rFonts w:cstheme="minorHAnsi"/>
        </w:rPr>
        <w:t>- zakupu i montażu ocieplenia przegród budowlanych, okien,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drzwi, drzwi/bram garażowych oddzielających przestrzeń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ogrzewaną od przestrzeni nieogrzewanej lub środowiska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zewnętrznego, (zawiera również demontaż),</w:t>
      </w:r>
    </w:p>
    <w:p w:rsidR="002E398B" w:rsidRPr="0070178B" w:rsidRDefault="0070178B" w:rsidP="00455F5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178B">
        <w:rPr>
          <w:rStyle w:val="markedcontent"/>
          <w:rFonts w:cstheme="minorHAnsi"/>
        </w:rPr>
        <w:t>- dokumentacji dotyczącej powyższego zakresu: audyt</w:t>
      </w:r>
      <w:r>
        <w:rPr>
          <w:rStyle w:val="markedcontent"/>
          <w:rFonts w:cstheme="minorHAnsi"/>
        </w:rPr>
        <w:t xml:space="preserve"> </w:t>
      </w:r>
      <w:r w:rsidRPr="0070178B">
        <w:rPr>
          <w:rStyle w:val="markedcontent"/>
          <w:rFonts w:cstheme="minorHAnsi"/>
        </w:rPr>
        <w:t>energetyczny, dokumentacja projektowa, ekspertyzy.</w:t>
      </w:r>
    </w:p>
    <w:p w:rsidR="0070178B" w:rsidRPr="00D650F0" w:rsidRDefault="0070178B" w:rsidP="002E398B">
      <w:pPr>
        <w:spacing w:before="100" w:beforeAutospacing="1" w:after="100" w:afterAutospacing="1" w:line="240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650F0">
        <w:rPr>
          <w:rStyle w:val="markedcontent"/>
          <w:rFonts w:ascii="Arial" w:hAnsi="Arial" w:cs="Arial"/>
          <w:b/>
          <w:sz w:val="20"/>
          <w:szCs w:val="20"/>
        </w:rPr>
        <w:t>Maksymalna kwota dotacji – 60%  nie więcej niż 350 000 zł</w:t>
      </w:r>
    </w:p>
    <w:p w:rsidR="0070178B" w:rsidRPr="00D650F0" w:rsidRDefault="0070178B" w:rsidP="001F4A3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F4A3A">
        <w:rPr>
          <w:rStyle w:val="markedcontent"/>
          <w:rFonts w:cstheme="minorHAnsi"/>
          <w:b/>
        </w:rPr>
        <w:t>II</w:t>
      </w:r>
      <w:r w:rsidRPr="0070178B">
        <w:rPr>
          <w:rStyle w:val="markedcontent"/>
          <w:rFonts w:cstheme="minorHAnsi"/>
        </w:rPr>
        <w:t xml:space="preserve">. </w:t>
      </w:r>
      <w:r w:rsidRPr="0070178B">
        <w:rPr>
          <w:rFonts w:cstheme="minorHAnsi"/>
        </w:rPr>
        <w:t>Pr</w:t>
      </w:r>
      <w:r>
        <w:rPr>
          <w:rFonts w:cstheme="minorHAnsi"/>
        </w:rPr>
        <w:t>zedsięwzięcie określone w pkt. I</w:t>
      </w:r>
      <w:r w:rsidRPr="0070178B">
        <w:rPr>
          <w:rFonts w:cstheme="minorHAnsi"/>
        </w:rPr>
        <w:t xml:space="preserve"> oraz zakup i montaż oraz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odbiór</w:t>
      </w:r>
      <w:r w:rsidR="00D650F0">
        <w:rPr>
          <w:rFonts w:cstheme="minorHAnsi"/>
        </w:rPr>
        <w:t xml:space="preserve"> i uruchomienie mikroinstalacji f</w:t>
      </w:r>
      <w:r w:rsidRPr="0070178B">
        <w:rPr>
          <w:rFonts w:cstheme="minorHAnsi"/>
        </w:rPr>
        <w:t>otowoltaicznej, przy czym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instalacja fotowoltaiczna dofinansowana w ramach programu może</w:t>
      </w:r>
      <w:r w:rsidR="00D650F0">
        <w:rPr>
          <w:rFonts w:cstheme="minorHAnsi"/>
        </w:rPr>
        <w:t xml:space="preserve"> </w:t>
      </w:r>
      <w:r w:rsidRPr="00D650F0">
        <w:rPr>
          <w:rFonts w:cstheme="minorHAnsi"/>
        </w:rPr>
        <w:t>służyć wyłącznie na potrzeby części wspólnych budynku mieszkalnego.</w:t>
      </w:r>
    </w:p>
    <w:p w:rsidR="0070178B" w:rsidRPr="00D650F0" w:rsidRDefault="0070178B" w:rsidP="0070178B">
      <w:pPr>
        <w:spacing w:before="100" w:beforeAutospacing="1" w:after="100" w:afterAutospacing="1" w:line="240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650F0">
        <w:rPr>
          <w:rStyle w:val="markedcontent"/>
          <w:rFonts w:ascii="Arial" w:hAnsi="Arial" w:cs="Arial"/>
          <w:b/>
          <w:sz w:val="20"/>
          <w:szCs w:val="20"/>
        </w:rPr>
        <w:lastRenderedPageBreak/>
        <w:t xml:space="preserve">Maksymalna kwota dotacji – 60% nie więcej niż 350 000 zł (lub 375 000 zł przy wyłącznie </w:t>
      </w:r>
      <w:r w:rsidR="00D650F0">
        <w:rPr>
          <w:rStyle w:val="markedcontent"/>
          <w:rFonts w:ascii="Arial" w:hAnsi="Arial" w:cs="Arial"/>
          <w:b/>
          <w:sz w:val="20"/>
          <w:szCs w:val="20"/>
        </w:rPr>
        <w:br/>
      </w:r>
      <w:r w:rsidRPr="00D650F0">
        <w:rPr>
          <w:rStyle w:val="markedcontent"/>
          <w:rFonts w:ascii="Arial" w:hAnsi="Arial" w:cs="Arial"/>
          <w:b/>
          <w:sz w:val="20"/>
          <w:szCs w:val="20"/>
        </w:rPr>
        <w:t xml:space="preserve">w przypadku zakupu w ramach Zadania pkt. I pompy ciepła ) </w:t>
      </w:r>
    </w:p>
    <w:p w:rsidR="005D487B" w:rsidRDefault="0070178B" w:rsidP="0070178B">
      <w:pPr>
        <w:spacing w:after="0" w:line="240" w:lineRule="auto"/>
        <w:jc w:val="both"/>
        <w:rPr>
          <w:rFonts w:cstheme="minorHAnsi"/>
        </w:rPr>
      </w:pPr>
      <w:r w:rsidRPr="001F4A3A">
        <w:rPr>
          <w:rFonts w:cstheme="minorHAnsi"/>
          <w:b/>
        </w:rPr>
        <w:t>III.</w:t>
      </w:r>
      <w:r w:rsidRPr="0070178B">
        <w:rPr>
          <w:rFonts w:cstheme="minorHAnsi"/>
        </w:rPr>
        <w:t xml:space="preserve"> Przedsięwzięcie nieobejmujące wymiany źródeł ciepła na paliwo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 xml:space="preserve">stałe na nowe źródła ciepła, </w:t>
      </w:r>
      <w:r w:rsidR="005D487B">
        <w:rPr>
          <w:rFonts w:cstheme="minorHAnsi"/>
        </w:rPr>
        <w:br/>
      </w:r>
      <w:r w:rsidRPr="0070178B">
        <w:rPr>
          <w:rFonts w:cstheme="minorHAnsi"/>
        </w:rPr>
        <w:t>a obejmujące:</w:t>
      </w:r>
    </w:p>
    <w:p w:rsidR="00D650F0" w:rsidRDefault="0070178B" w:rsidP="0070178B">
      <w:pPr>
        <w:spacing w:after="0" w:line="240" w:lineRule="auto"/>
        <w:jc w:val="both"/>
        <w:rPr>
          <w:rFonts w:cstheme="minorHAnsi"/>
        </w:rPr>
      </w:pPr>
      <w:r w:rsidRPr="0070178B">
        <w:rPr>
          <w:rFonts w:cstheme="minorHAnsi"/>
        </w:rPr>
        <w:t>- zakup i montaż wentylacji mechanicznej z odzyskiem ciepła,</w:t>
      </w:r>
    </w:p>
    <w:p w:rsidR="0070178B" w:rsidRDefault="0070178B" w:rsidP="0070178B">
      <w:pPr>
        <w:spacing w:after="0" w:line="240" w:lineRule="auto"/>
        <w:jc w:val="both"/>
        <w:rPr>
          <w:rFonts w:cstheme="minorHAnsi"/>
        </w:rPr>
      </w:pPr>
      <w:r w:rsidRPr="0070178B">
        <w:rPr>
          <w:rFonts w:cstheme="minorHAnsi"/>
        </w:rPr>
        <w:t>- zakup i montaż ocieplenia przegród budowlanych, okien, drzwi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 xml:space="preserve">drzwi/bram garażowych </w:t>
      </w:r>
      <w:r>
        <w:rPr>
          <w:rFonts w:cstheme="minorHAnsi"/>
        </w:rPr>
        <w:t>o</w:t>
      </w:r>
      <w:r w:rsidRPr="0070178B">
        <w:rPr>
          <w:rFonts w:cstheme="minorHAnsi"/>
        </w:rPr>
        <w:t>ddzielających przestrzeń ogrzewaną od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przestrzeni nieogrzewanej lub środowiska zewnętrznego (zawiera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również demontaż),</w:t>
      </w:r>
    </w:p>
    <w:p w:rsidR="0070178B" w:rsidRDefault="0070178B" w:rsidP="0070178B">
      <w:pPr>
        <w:spacing w:after="0" w:line="240" w:lineRule="auto"/>
        <w:jc w:val="both"/>
        <w:rPr>
          <w:rFonts w:cstheme="minorHAnsi"/>
        </w:rPr>
      </w:pPr>
      <w:r w:rsidRPr="0070178B">
        <w:rPr>
          <w:rFonts w:cstheme="minorHAnsi"/>
        </w:rPr>
        <w:t>- dokumentację dotyczącą powyższego zakresu: audyt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energetyczny, dokumentacja projektowa, ekspertyzy,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br/>
        <w:t>- zakup i montaż oraz odbiór i uruchomienie mikroinstalacji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fotowoltaicznej, przy czym instalacja fotowoltaiczna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dofinansowana w ramach programu może służyć wyłącznie na</w:t>
      </w:r>
      <w:r>
        <w:rPr>
          <w:rFonts w:cstheme="minorHAnsi"/>
        </w:rPr>
        <w:t xml:space="preserve"> </w:t>
      </w:r>
      <w:r w:rsidRPr="0070178B">
        <w:rPr>
          <w:rFonts w:cstheme="minorHAnsi"/>
        </w:rPr>
        <w:t>potrzeby części wspólnych budynku mieszkalnego</w:t>
      </w:r>
    </w:p>
    <w:p w:rsidR="008F142B" w:rsidRDefault="008F142B" w:rsidP="0070178B">
      <w:pPr>
        <w:spacing w:after="0" w:line="240" w:lineRule="auto"/>
        <w:jc w:val="both"/>
        <w:rPr>
          <w:rFonts w:cstheme="minorHAnsi"/>
        </w:rPr>
      </w:pPr>
    </w:p>
    <w:p w:rsidR="0070178B" w:rsidRPr="00D650F0" w:rsidRDefault="0070178B" w:rsidP="002E398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D650F0">
        <w:rPr>
          <w:rStyle w:val="markedcontent"/>
          <w:rFonts w:ascii="Arial" w:hAnsi="Arial" w:cs="Arial"/>
          <w:b/>
          <w:sz w:val="20"/>
          <w:szCs w:val="20"/>
        </w:rPr>
        <w:t>Maksymalna kwota dotacji - 60% nie więcej niż 150 000 zł</w:t>
      </w:r>
    </w:p>
    <w:p w:rsidR="00EC06F2" w:rsidRPr="00D650F0" w:rsidRDefault="00EC06F2" w:rsidP="00EC06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D650F0">
        <w:rPr>
          <w:rFonts w:eastAsia="Times New Roman" w:cstheme="minorHAnsi"/>
          <w:b/>
          <w:lang w:eastAsia="pl-PL"/>
        </w:rPr>
        <w:t>Kwalifikowalność VAT</w:t>
      </w:r>
    </w:p>
    <w:p w:rsidR="002E398B" w:rsidRDefault="00EC06F2" w:rsidP="00EC06F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C06F2">
        <w:rPr>
          <w:rFonts w:eastAsia="Times New Roman" w:cstheme="minorHAnsi"/>
          <w:lang w:eastAsia="pl-PL"/>
        </w:rPr>
        <w:t>Podatek od towarów i usług (VAT) jest kosztem kwalifikowanym tylko wówczas, gdy jest on faktycznie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i ostatecznie ponoszony przez beneficjenta końcowego, a beneficjent ten nie ma prawnej możliwości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odliczenia podatku naliczonego od podatku należnego w jakiejkolwiek części, zgodnie z przepisami</w:t>
      </w:r>
      <w:r>
        <w:rPr>
          <w:rFonts w:eastAsia="Times New Roman" w:cstheme="minorHAnsi"/>
          <w:lang w:eastAsia="pl-PL"/>
        </w:rPr>
        <w:t xml:space="preserve"> </w:t>
      </w:r>
      <w:r w:rsidRPr="00EC06F2">
        <w:rPr>
          <w:rFonts w:eastAsia="Times New Roman" w:cstheme="minorHAnsi"/>
          <w:lang w:eastAsia="pl-PL"/>
        </w:rPr>
        <w:t>ustawy o podatku od towarów i usług</w:t>
      </w:r>
      <w:r>
        <w:rPr>
          <w:rFonts w:eastAsia="Times New Roman" w:cstheme="minorHAnsi"/>
          <w:lang w:eastAsia="pl-PL"/>
        </w:rPr>
        <w:t>.</w:t>
      </w:r>
    </w:p>
    <w:p w:rsidR="00407AE7" w:rsidRPr="00D650F0" w:rsidRDefault="00407AE7" w:rsidP="00EC06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D650F0">
        <w:rPr>
          <w:rStyle w:val="markedcontent"/>
          <w:rFonts w:cstheme="minorHAnsi"/>
          <w:b/>
          <w:sz w:val="23"/>
          <w:szCs w:val="23"/>
        </w:rPr>
        <w:t xml:space="preserve">Warunki dofinansowania: </w:t>
      </w:r>
    </w:p>
    <w:p w:rsidR="00092B3A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1) </w:t>
      </w:r>
      <w:r w:rsidRPr="00407AE7">
        <w:rPr>
          <w:rFonts w:eastAsia="Times New Roman" w:cstheme="minorHAnsi"/>
          <w:lang w:eastAsia="pl-PL"/>
        </w:rPr>
        <w:t>W przypadku, gdy działalność gospodarcza jest prowadzona na powierzchni całkowitej</w:t>
      </w:r>
      <w:r w:rsidRPr="00407AE7">
        <w:rPr>
          <w:rFonts w:eastAsia="Times New Roman" w:cstheme="minorHAnsi"/>
          <w:lang w:eastAsia="pl-PL"/>
        </w:rPr>
        <w:br/>
        <w:t>przekraczającej 30% budynku mieszkalnego, przedsięwzięcie nie kwalifikuje się do</w:t>
      </w:r>
      <w:r w:rsidRPr="00407AE7">
        <w:rPr>
          <w:rFonts w:eastAsia="Times New Roman" w:cstheme="minorHAnsi"/>
          <w:lang w:eastAsia="pl-PL"/>
        </w:rPr>
        <w:br/>
        <w:t>dofinansowania;</w:t>
      </w:r>
    </w:p>
    <w:p w:rsidR="00092B3A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2) Wspólnota mieszkaniowa</w:t>
      </w:r>
      <w:r w:rsidR="00ED16C2">
        <w:rPr>
          <w:rFonts w:eastAsia="Times New Roman" w:cstheme="minorHAnsi"/>
          <w:lang w:eastAsia="pl-PL"/>
        </w:rPr>
        <w:t xml:space="preserve"> od 4-7 lokali mieszkalnych </w:t>
      </w:r>
      <w:r w:rsidRPr="00407AE7">
        <w:rPr>
          <w:rFonts w:eastAsia="Times New Roman" w:cstheme="minorHAnsi"/>
          <w:lang w:eastAsia="pl-PL"/>
        </w:rPr>
        <w:t>przedstawi uchwałę w sprawie wyboru zarządu wspólnoty oraz</w:t>
      </w:r>
      <w:r w:rsidR="00ED16C2">
        <w:rPr>
          <w:rFonts w:eastAsia="Times New Roman" w:cstheme="minorHAnsi"/>
          <w:lang w:eastAsia="pl-PL"/>
        </w:rPr>
        <w:t xml:space="preserve"> </w:t>
      </w:r>
      <w:r w:rsidRPr="00407AE7">
        <w:rPr>
          <w:rFonts w:eastAsia="Times New Roman" w:cstheme="minorHAnsi"/>
          <w:lang w:eastAsia="pl-PL"/>
        </w:rPr>
        <w:t>stosowne uchwały umożliwia</w:t>
      </w:r>
      <w:r w:rsidR="00ED16C2">
        <w:rPr>
          <w:rFonts w:eastAsia="Times New Roman" w:cstheme="minorHAnsi"/>
          <w:lang w:eastAsia="pl-PL"/>
        </w:rPr>
        <w:t xml:space="preserve">jące realizację przedsięwzięcia. Natomiast wspólnota mieszkaniowa 3 lokali mieszkalnych przedstawi umowę cywilnoprawną  na realizacje przedsięwzięcia; </w:t>
      </w:r>
    </w:p>
    <w:p w:rsidR="00407AE7" w:rsidRPr="001F4A3A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3) W przypadku gdy użytkowane wspólne źródło ciepła dla budynku mieszkalnego lub indywidualne</w:t>
      </w:r>
      <w:r w:rsidRPr="00407AE7">
        <w:rPr>
          <w:rFonts w:eastAsia="Times New Roman" w:cstheme="minorHAnsi"/>
          <w:lang w:eastAsia="pl-PL"/>
        </w:rPr>
        <w:br/>
        <w:t>źródła ciepła dla wszystkich lokali mieszkalnych w budynku, jest inne niż źródło na paliwo stałe</w:t>
      </w:r>
      <w:r w:rsidRPr="00407AE7">
        <w:rPr>
          <w:rFonts w:eastAsia="Times New Roman" w:cstheme="minorHAnsi"/>
          <w:lang w:eastAsia="pl-PL"/>
        </w:rPr>
        <w:br/>
        <w:t>lub jest źródłem ciepła na paliwa stałe spełniającym wymagania minimum 5 klasy według normy</w:t>
      </w:r>
      <w:r w:rsidRPr="00407AE7">
        <w:rPr>
          <w:rFonts w:eastAsia="Times New Roman" w:cstheme="minorHAnsi"/>
          <w:lang w:eastAsia="pl-PL"/>
        </w:rPr>
        <w:br/>
        <w:t>przenoszącej normę europejską EN 303-5, dotacja może być udzielona wyłącznie na zakres w tym</w:t>
      </w:r>
      <w:r w:rsidRPr="00407AE7">
        <w:rPr>
          <w:rFonts w:eastAsia="Times New Roman" w:cstheme="minorHAnsi"/>
          <w:lang w:eastAsia="pl-PL"/>
        </w:rPr>
        <w:br/>
      </w:r>
      <w:r w:rsidRPr="001F4A3A">
        <w:rPr>
          <w:rFonts w:eastAsia="Times New Roman" w:cstheme="minorHAnsi"/>
          <w:lang w:eastAsia="pl-PL"/>
        </w:rPr>
        <w:t>budynku wskazany w punkcie 3 tabeli ust. 9 Części 4) programu;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4) Przedsięwzięcie realizowane w ramach programu może być dofinansowane z innych środków</w:t>
      </w:r>
      <w:r w:rsidRPr="00407AE7">
        <w:rPr>
          <w:rFonts w:eastAsia="Times New Roman" w:cstheme="minorHAnsi"/>
          <w:lang w:eastAsia="pl-PL"/>
        </w:rPr>
        <w:br/>
        <w:t>publicznych, z tym że łączna kwota dofinansowania na przedsięwzięcie nie może przekroczyć</w:t>
      </w:r>
      <w:r w:rsidRPr="00407AE7">
        <w:rPr>
          <w:rFonts w:eastAsia="Times New Roman" w:cstheme="minorHAnsi"/>
          <w:lang w:eastAsia="pl-PL"/>
        </w:rPr>
        <w:br/>
        <w:t>100% kosztów kwalifikowanych przedsięwzięcia;</w:t>
      </w:r>
    </w:p>
    <w:p w:rsidR="00D650F0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5) Warunkiem udzielenia dofinansowania jest zobowiązanie się Beneficjenta, że po zakończeniu</w:t>
      </w:r>
      <w:r w:rsidRPr="00407AE7">
        <w:rPr>
          <w:rFonts w:eastAsia="Times New Roman" w:cstheme="minorHAnsi"/>
          <w:lang w:eastAsia="pl-PL"/>
        </w:rPr>
        <w:br/>
        <w:t>realizacji przedsięwzięcia w ramach programu w budynku mieszkalnym objętym</w:t>
      </w:r>
      <w:r w:rsidRPr="00407AE7">
        <w:rPr>
          <w:rFonts w:eastAsia="Times New Roman" w:cstheme="minorHAnsi"/>
          <w:lang w:eastAsia="pl-PL"/>
        </w:rPr>
        <w:br/>
        <w:t>dofinansowaniem:</w:t>
      </w:r>
      <w:r w:rsidRPr="00407AE7">
        <w:rPr>
          <w:rFonts w:eastAsia="Times New Roman" w:cstheme="minorHAnsi"/>
          <w:lang w:eastAsia="pl-PL"/>
        </w:rPr>
        <w:br/>
      </w:r>
      <w:r w:rsidRPr="00407AE7">
        <w:rPr>
          <w:rFonts w:eastAsia="Times New Roman" w:cstheme="minorHAnsi"/>
          <w:lang w:eastAsia="pl-PL"/>
        </w:rPr>
        <w:lastRenderedPageBreak/>
        <w:t>a) nie będzie zainstalowane i nie będzie użytkowane źródło ciepła na paliwa stałe o klasie niższej</w:t>
      </w:r>
      <w:r w:rsidRPr="00407AE7">
        <w:rPr>
          <w:rFonts w:eastAsia="Times New Roman" w:cstheme="minorHAnsi"/>
          <w:lang w:eastAsia="pl-PL"/>
        </w:rPr>
        <w:br/>
        <w:t>niż 5 klasa według normy przenoszącej normę europejską EN 303-5,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b) zamontowane w budynku mieszkalnym kominki wykorzystywane na cele rekreacyjne będą</w:t>
      </w:r>
      <w:r w:rsidRPr="00407AE7">
        <w:rPr>
          <w:rFonts w:eastAsia="Times New Roman" w:cstheme="minorHAnsi"/>
          <w:lang w:eastAsia="pl-PL"/>
        </w:rPr>
        <w:br/>
        <w:t>spełniać wymagania ekoprojektu</w:t>
      </w:r>
      <w:r>
        <w:rPr>
          <w:rFonts w:eastAsia="Times New Roman" w:cstheme="minorHAnsi"/>
          <w:lang w:eastAsia="pl-PL"/>
        </w:rPr>
        <w:t xml:space="preserve">, 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c) wszystkie zainstalowane oraz użytkowane urządzenia służące do celów ogrzewania</w:t>
      </w:r>
      <w:r w:rsidRPr="00407AE7">
        <w:rPr>
          <w:rFonts w:eastAsia="Times New Roman" w:cstheme="minorHAnsi"/>
          <w:lang w:eastAsia="pl-PL"/>
        </w:rPr>
        <w:br/>
        <w:t>lub przygotowania ciepłej wody użytkowej (w tym kominki wykorzystywane na cele</w:t>
      </w:r>
      <w:r w:rsidRPr="00407AE7">
        <w:rPr>
          <w:rFonts w:eastAsia="Times New Roman" w:cstheme="minorHAnsi"/>
          <w:lang w:eastAsia="pl-PL"/>
        </w:rPr>
        <w:br/>
        <w:t>rekreacyjne) będą spełniać docelowe wymagania obowiązujących na terenie położenia</w:t>
      </w:r>
      <w:r w:rsidRPr="00407AE7">
        <w:rPr>
          <w:rFonts w:eastAsia="Times New Roman" w:cstheme="minorHAnsi"/>
          <w:lang w:eastAsia="pl-PL"/>
        </w:rPr>
        <w:br/>
        <w:t>budynku mieszkalnego objętego dofinansowaniem, aktów prawa miejscowego, w tym uchwał</w:t>
      </w:r>
      <w:r w:rsidRPr="00407AE7">
        <w:rPr>
          <w:rFonts w:eastAsia="Times New Roman" w:cstheme="minorHAnsi"/>
          <w:lang w:eastAsia="pl-PL"/>
        </w:rPr>
        <w:br/>
        <w:t>antysmogowych, również wtedy kiedy akty te przewidują bardziej rygorystyczne ograniczenia</w:t>
      </w:r>
      <w:r w:rsidRPr="00407AE7">
        <w:rPr>
          <w:rFonts w:eastAsia="Times New Roman" w:cstheme="minorHAnsi"/>
          <w:lang w:eastAsia="pl-PL"/>
        </w:rPr>
        <w:br/>
        <w:t>dotyczące zakupu i montażu źródła ciepła;</w:t>
      </w:r>
    </w:p>
    <w:p w:rsidR="00407AE7" w:rsidRDefault="00407AE7" w:rsidP="001F4A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6) Zakres przedsięwzięcia finansowanego w ramach Programu musi być zgodny, na dzień złożenia</w:t>
      </w:r>
      <w:r w:rsidRPr="00407AE7">
        <w:rPr>
          <w:rFonts w:eastAsia="Times New Roman" w:cstheme="minorHAnsi"/>
          <w:lang w:eastAsia="pl-PL"/>
        </w:rPr>
        <w:br/>
        <w:t>wniosku o dofinansowanie, z programem ochrony powietrza w rozumieniu art. 91 Ustawy z dnia</w:t>
      </w:r>
      <w:r w:rsidRPr="00407AE7">
        <w:rPr>
          <w:rFonts w:eastAsia="Times New Roman" w:cstheme="minorHAnsi"/>
          <w:lang w:eastAsia="pl-PL"/>
        </w:rPr>
        <w:br/>
        <w:t>27 kwietnia 2001r. – Prawo ochrony środowiska, właściwym ze względu na usytuowanie budynku;</w:t>
      </w:r>
      <w:r w:rsidRPr="00407AE7">
        <w:rPr>
          <w:rFonts w:eastAsia="Times New Roman" w:cstheme="minorHAnsi"/>
          <w:lang w:eastAsia="pl-PL"/>
        </w:rPr>
        <w:br/>
        <w:t>7) Na przedsięwzięcia realizowane w budynkach mieszkalnych, na budowę których po 31 grudnia</w:t>
      </w:r>
      <w:r w:rsidRPr="00407AE7">
        <w:rPr>
          <w:rFonts w:eastAsia="Times New Roman" w:cstheme="minorHAnsi"/>
          <w:lang w:eastAsia="pl-PL"/>
        </w:rPr>
        <w:br/>
        <w:t>2013 r.:</w:t>
      </w:r>
    </w:p>
    <w:p w:rsidR="001F4A3A" w:rsidRDefault="00407AE7" w:rsidP="001F4A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a) został złożony wniosek o pozwolenie na budowę lub odrębny wniosek o zatwierdzenie projektu</w:t>
      </w:r>
      <w:r w:rsidRPr="00407AE7">
        <w:rPr>
          <w:rFonts w:eastAsia="Times New Roman" w:cstheme="minorHAnsi"/>
          <w:lang w:eastAsia="pl-PL"/>
        </w:rPr>
        <w:br/>
        <w:t>budowlanego,</w:t>
      </w:r>
      <w:r w:rsidRPr="00407AE7">
        <w:rPr>
          <w:rFonts w:eastAsia="Times New Roman" w:cstheme="minorHAnsi"/>
          <w:lang w:eastAsia="pl-PL"/>
        </w:rPr>
        <w:br/>
        <w:t>b) zostało dokonane zgłoszenie budowy lub wykonania robót budowlanych w przypadku, gdy</w:t>
      </w:r>
      <w:r w:rsidRPr="00407AE7">
        <w:rPr>
          <w:rFonts w:eastAsia="Times New Roman" w:cstheme="minorHAnsi"/>
          <w:lang w:eastAsia="pl-PL"/>
        </w:rPr>
        <w:br/>
        <w:t>nie jest wymagane uzyskanie decyzji o pozwoleniu na budowę,</w:t>
      </w:r>
    </w:p>
    <w:p w:rsidR="00D650F0" w:rsidRDefault="00407AE7" w:rsidP="001F4A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 xml:space="preserve">nie udziela się dofinansowania na zakres </w:t>
      </w:r>
      <w:r w:rsidRPr="001F4A3A">
        <w:rPr>
          <w:rFonts w:eastAsia="Times New Roman" w:cstheme="minorHAnsi"/>
          <w:lang w:eastAsia="pl-PL"/>
        </w:rPr>
        <w:t>kosztów kwalifikowanych w tabeli 3 Załącznika 1a</w:t>
      </w:r>
      <w:r w:rsidRPr="001F4A3A">
        <w:rPr>
          <w:rFonts w:eastAsia="Times New Roman" w:cstheme="minorHAnsi"/>
          <w:lang w:eastAsia="pl-PL"/>
        </w:rPr>
        <w:br/>
      </w:r>
      <w:r w:rsidRPr="00407AE7">
        <w:rPr>
          <w:rFonts w:eastAsia="Times New Roman" w:cstheme="minorHAnsi"/>
          <w:lang w:eastAsia="pl-PL"/>
        </w:rPr>
        <w:t>do programu, tj. ocieplenie przegród budowlanych, stolarka okienna i drzwiowa;</w:t>
      </w:r>
    </w:p>
    <w:p w:rsidR="00CE7504" w:rsidRDefault="00407AE7" w:rsidP="001F4A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br/>
        <w:t>8) W przypadku montażu mikroinstalacji fotowoltaicznej warunkiem wypłaty dotacji na ten koszt</w:t>
      </w:r>
      <w:r w:rsidRPr="00407AE7">
        <w:rPr>
          <w:rFonts w:eastAsia="Times New Roman" w:cstheme="minorHAnsi"/>
          <w:lang w:eastAsia="pl-PL"/>
        </w:rPr>
        <w:br/>
        <w:t>kwalifikowany jest przedstawienie wystawionego na Beneficjenta końcowego zaświadczenia</w:t>
      </w:r>
      <w:r w:rsidRPr="00407AE7">
        <w:rPr>
          <w:rFonts w:eastAsia="Times New Roman" w:cstheme="minorHAnsi"/>
          <w:lang w:eastAsia="pl-PL"/>
        </w:rPr>
        <w:br/>
        <w:t>Operatora Sieci Dystrybucyjnej opatrzonego pieczęcią firmową oraz czytelnym podpisem,</w:t>
      </w:r>
      <w:r w:rsidRPr="00407AE7">
        <w:rPr>
          <w:rFonts w:eastAsia="Times New Roman" w:cstheme="minorHAnsi"/>
          <w:lang w:eastAsia="pl-PL"/>
        </w:rPr>
        <w:br/>
        <w:t>potwierdzającego montaż licznika dwukierunkowego wraz z numerem Punktu Poboru Energii;</w:t>
      </w:r>
    </w:p>
    <w:p w:rsidR="00D650F0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9) Dofinansowaniu nie podlegają przedsięwzięcia polegające na zwiększeniu mocy już istniejącej</w:t>
      </w:r>
      <w:r w:rsidRPr="00407AE7">
        <w:rPr>
          <w:rFonts w:eastAsia="Times New Roman" w:cstheme="minorHAnsi"/>
          <w:lang w:eastAsia="pl-PL"/>
        </w:rPr>
        <w:br/>
        <w:t>mikroinstalacji fotowoltaicznej;</w:t>
      </w:r>
    </w:p>
    <w:p w:rsidR="00407AE7" w:rsidRPr="00D650F0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D650F0">
        <w:rPr>
          <w:rFonts w:eastAsia="Times New Roman" w:cstheme="minorHAnsi"/>
          <w:b/>
          <w:lang w:eastAsia="pl-PL"/>
        </w:rPr>
        <w:t>Wymagania ekoprojektu określone zostały w Rozporządzeniu Komisji (UE) 2015/1185 z dnia 24 kwietnia 2015 r. w sprawie wykonania dyrektywy Parlamentu Europejskiego i Rady 2009/125/WE w odniesieniu do wymogów dotyczących ekoprojektu dla miejscowych ogrzewaczy pomieszczeń na paliwo stałe.</w:t>
      </w:r>
    </w:p>
    <w:p w:rsidR="00407AE7" w:rsidRPr="00D650F0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D650F0">
        <w:rPr>
          <w:rFonts w:eastAsia="Times New Roman" w:cstheme="minorHAnsi"/>
          <w:b/>
          <w:lang w:eastAsia="pl-PL"/>
        </w:rPr>
        <w:t>Przez uchwały antysmogowe rozumie się uchwały podjęte przez sejmik województwa w trybie art. 96 ustawy z dnia 27</w:t>
      </w:r>
      <w:r w:rsidR="00D650F0" w:rsidRPr="00D650F0">
        <w:rPr>
          <w:rFonts w:eastAsia="Times New Roman" w:cstheme="minorHAnsi"/>
          <w:b/>
          <w:lang w:eastAsia="pl-PL"/>
        </w:rPr>
        <w:t xml:space="preserve"> </w:t>
      </w:r>
      <w:r w:rsidRPr="00D650F0">
        <w:rPr>
          <w:rFonts w:eastAsia="Times New Roman" w:cstheme="minorHAnsi"/>
          <w:b/>
          <w:lang w:eastAsia="pl-PL"/>
        </w:rPr>
        <w:t>kwietnia 2001 r. – Prawo ochrony środowiska.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10) Wykonanie ekspertyzy ornitologicznej i chiropterologicznej są obowiązkowe do uzyskania</w:t>
      </w:r>
      <w:r w:rsidRPr="00407AE7">
        <w:rPr>
          <w:rFonts w:eastAsia="Times New Roman" w:cstheme="minorHAnsi"/>
          <w:lang w:eastAsia="pl-PL"/>
        </w:rPr>
        <w:br/>
        <w:t>dofinansowania na realizację przedsięwzięcia, w przypadku dofinansowania na zakres kosztów</w:t>
      </w:r>
      <w:r w:rsidRPr="00407AE7">
        <w:rPr>
          <w:rFonts w:eastAsia="Times New Roman" w:cstheme="minorHAnsi"/>
          <w:lang w:eastAsia="pl-PL"/>
        </w:rPr>
        <w:br/>
        <w:t xml:space="preserve">kwalifikowanych wskazany w </w:t>
      </w:r>
      <w:r w:rsidRPr="001F4A3A">
        <w:rPr>
          <w:rFonts w:eastAsia="Times New Roman" w:cstheme="minorHAnsi"/>
          <w:lang w:eastAsia="pl-PL"/>
        </w:rPr>
        <w:t>tabeli 3 Załącznika 1a do Programu, tj.</w:t>
      </w:r>
      <w:r w:rsidRPr="00407AE7">
        <w:rPr>
          <w:rFonts w:eastAsia="Times New Roman" w:cstheme="minorHAnsi"/>
          <w:lang w:eastAsia="pl-PL"/>
        </w:rPr>
        <w:t xml:space="preserve"> ocieplenie przegród</w:t>
      </w:r>
      <w:r w:rsidRPr="00407AE7">
        <w:rPr>
          <w:rFonts w:eastAsia="Times New Roman" w:cstheme="minorHAnsi"/>
          <w:lang w:eastAsia="pl-PL"/>
        </w:rPr>
        <w:br/>
        <w:t>budowlanych, stolarka okienna i drzwiowa. Przeprowadzenie audytu energetycznego jest</w:t>
      </w:r>
      <w:r w:rsidRPr="00407AE7">
        <w:rPr>
          <w:rFonts w:eastAsia="Times New Roman" w:cstheme="minorHAnsi"/>
          <w:lang w:eastAsia="pl-PL"/>
        </w:rPr>
        <w:br/>
        <w:t>wymagane nie później niż do dnia zakończenia realizacji wnioskowanego przedsięwzięcia a zakres</w:t>
      </w:r>
      <w:r w:rsidRPr="00407AE7">
        <w:rPr>
          <w:rFonts w:eastAsia="Times New Roman" w:cstheme="minorHAnsi"/>
          <w:lang w:eastAsia="pl-PL"/>
        </w:rPr>
        <w:br/>
        <w:t>prac dla wybranego wariantu wynikającego z audytu energetycznego zostanie zrealizowany</w:t>
      </w:r>
      <w:r w:rsidRPr="00407AE7">
        <w:rPr>
          <w:rFonts w:eastAsia="Times New Roman" w:cstheme="minorHAnsi"/>
          <w:lang w:eastAsia="pl-PL"/>
        </w:rPr>
        <w:br/>
        <w:t>w ramach złożonego wniosku o dofinansowanie;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lastRenderedPageBreak/>
        <w:t>11) Wszystkie zainstalowane oraz użytkowane urządzenia służące do celów ogrzewania</w:t>
      </w:r>
      <w:r w:rsidRPr="00407AE7">
        <w:rPr>
          <w:rFonts w:eastAsia="Times New Roman" w:cstheme="minorHAnsi"/>
          <w:lang w:eastAsia="pl-PL"/>
        </w:rPr>
        <w:br/>
        <w:t>i/lub przygotowania ciepłej wody użytkowej będą spełniać docelowe wymagania aktów prawa</w:t>
      </w:r>
      <w:r w:rsidRPr="00407AE7">
        <w:rPr>
          <w:rFonts w:eastAsia="Times New Roman" w:cstheme="minorHAnsi"/>
          <w:lang w:eastAsia="pl-PL"/>
        </w:rPr>
        <w:br/>
        <w:t>miejscowego, w tym uchwał antysmogowych, obowiązujących na terenie położenia budynku</w:t>
      </w:r>
      <w:r w:rsidRPr="00407AE7">
        <w:rPr>
          <w:rFonts w:eastAsia="Times New Roman" w:cstheme="minorHAnsi"/>
          <w:lang w:eastAsia="pl-PL"/>
        </w:rPr>
        <w:br/>
        <w:t>objętego dofinansowaniem;</w:t>
      </w:r>
    </w:p>
    <w:p w:rsidR="00092B3A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12) W ramach programu można dofinansować zakup i montaż tylko jednego wspólnego źródła ciepła</w:t>
      </w:r>
      <w:r w:rsidRPr="00407AE7">
        <w:rPr>
          <w:rFonts w:eastAsia="Times New Roman" w:cstheme="minorHAnsi"/>
          <w:lang w:eastAsia="pl-PL"/>
        </w:rPr>
        <w:br/>
        <w:t>dla budynku mieszkalnego do celów ogrzewania lub ogrzewania i c</w:t>
      </w:r>
      <w:r>
        <w:rPr>
          <w:rFonts w:eastAsia="Times New Roman" w:cstheme="minorHAnsi"/>
          <w:lang w:eastAsia="pl-PL"/>
        </w:rPr>
        <w:t>.</w:t>
      </w:r>
      <w:r w:rsidRPr="00407AE7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.</w:t>
      </w:r>
      <w:r w:rsidRPr="00407AE7">
        <w:rPr>
          <w:rFonts w:eastAsia="Times New Roman" w:cstheme="minorHAnsi"/>
          <w:lang w:eastAsia="pl-PL"/>
        </w:rPr>
        <w:t>u.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13) W przypadku, gdy budynek mieszkalny wielorodzinny, którego dotyczy wniosek</w:t>
      </w:r>
      <w:r w:rsidRPr="00407AE7">
        <w:rPr>
          <w:rFonts w:eastAsia="Times New Roman" w:cstheme="minorHAnsi"/>
          <w:lang w:eastAsia="pl-PL"/>
        </w:rPr>
        <w:br/>
        <w:t>o dofinansowanie, jest podłączony do sieci ciepłowniczej nie jest możliwe otrzymanie</w:t>
      </w:r>
      <w:r w:rsidRPr="00407AE7">
        <w:rPr>
          <w:rFonts w:eastAsia="Times New Roman" w:cstheme="minorHAnsi"/>
          <w:lang w:eastAsia="pl-PL"/>
        </w:rPr>
        <w:br/>
        <w:t>dofinansowania na zakup i montaż innego źródła ciepła;</w:t>
      </w:r>
    </w:p>
    <w:p w:rsidR="00407AE7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14) Wymieniane źródło ciepła na paliwo stałe musi być trwale wyłączone z użytku. Potwierdzeniem</w:t>
      </w:r>
      <w:r w:rsidRPr="00407AE7">
        <w:rPr>
          <w:rFonts w:eastAsia="Times New Roman" w:cstheme="minorHAnsi"/>
          <w:lang w:eastAsia="pl-PL"/>
        </w:rPr>
        <w:br/>
        <w:t>trwałego wyłączenia z użytku źródła ciepła na paliwo stałe jest imienny dokument</w:t>
      </w:r>
      <w:r w:rsidRPr="00407AE7">
        <w:rPr>
          <w:rFonts w:eastAsia="Times New Roman" w:cstheme="minorHAnsi"/>
          <w:lang w:eastAsia="pl-PL"/>
        </w:rPr>
        <w:br/>
        <w:t>zezłomowania/karta przekazania odpadu/formularza przyjęcia odpadów metali. Dopuszcza</w:t>
      </w:r>
      <w:r w:rsidRPr="00407AE7">
        <w:rPr>
          <w:rFonts w:eastAsia="Times New Roman" w:cstheme="minorHAnsi"/>
          <w:lang w:eastAsia="pl-PL"/>
        </w:rPr>
        <w:br/>
        <w:t>się pozostawienie w budynku mieszkalnym pieców kaflowych lub kominków niespełniających</w:t>
      </w:r>
      <w:r w:rsidRPr="00407AE7">
        <w:rPr>
          <w:rFonts w:eastAsia="Times New Roman" w:cstheme="minorHAnsi"/>
          <w:lang w:eastAsia="pl-PL"/>
        </w:rPr>
        <w:br/>
        <w:t>wymagań ekoprojektu oraz docelowych wymagań aktów prawa miejscowego</w:t>
      </w:r>
      <w:r w:rsidRPr="00407AE7">
        <w:rPr>
          <w:rFonts w:eastAsia="Times New Roman" w:cstheme="minorHAnsi"/>
          <w:lang w:eastAsia="pl-PL"/>
        </w:rPr>
        <w:br/>
        <w:t xml:space="preserve">(w tym uchwał antysmogowych, </w:t>
      </w:r>
      <w:r w:rsidRPr="001F4A3A">
        <w:rPr>
          <w:rFonts w:eastAsia="Times New Roman" w:cstheme="minorHAnsi"/>
          <w:lang w:eastAsia="pl-PL"/>
        </w:rPr>
        <w:t>o których mowa w ust. 10 pkt.5) Części 4) programu),</w:t>
      </w:r>
      <w:r w:rsidRPr="00407AE7">
        <w:rPr>
          <w:rFonts w:eastAsia="Times New Roman" w:cstheme="minorHAnsi"/>
          <w:lang w:eastAsia="pl-PL"/>
        </w:rPr>
        <w:t xml:space="preserve"> jednak</w:t>
      </w:r>
      <w:r w:rsidRPr="00407AE7">
        <w:rPr>
          <w:rFonts w:eastAsia="Times New Roman" w:cstheme="minorHAnsi"/>
          <w:lang w:eastAsia="pl-PL"/>
        </w:rPr>
        <w:br/>
        <w:t>muszą być one trwale odłączone od przewodu kominowego, co oznacza trwałe wyłączenie</w:t>
      </w:r>
      <w:r w:rsidRPr="00407AE7">
        <w:rPr>
          <w:rFonts w:eastAsia="Times New Roman" w:cstheme="minorHAnsi"/>
          <w:lang w:eastAsia="pl-PL"/>
        </w:rPr>
        <w:br/>
        <w:t>z użytku i musi być to potwierdzone odpowiednim protokołem kominiarskim wydanym przez</w:t>
      </w:r>
      <w:r w:rsidRPr="00407AE7">
        <w:rPr>
          <w:rFonts w:eastAsia="Times New Roman" w:cstheme="minorHAnsi"/>
          <w:lang w:eastAsia="pl-PL"/>
        </w:rPr>
        <w:br/>
      </w:r>
      <w:r w:rsidR="00A10519">
        <w:rPr>
          <w:rFonts w:eastAsia="Times New Roman" w:cstheme="minorHAnsi"/>
          <w:lang w:eastAsia="pl-PL"/>
        </w:rPr>
        <w:t>mistrza kominiarskiego;</w:t>
      </w:r>
    </w:p>
    <w:p w:rsidR="002E398B" w:rsidRDefault="00407AE7" w:rsidP="00407AE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07AE7">
        <w:rPr>
          <w:rFonts w:eastAsia="Times New Roman" w:cstheme="minorHAnsi"/>
          <w:lang w:eastAsia="pl-PL"/>
        </w:rPr>
        <w:t>15) W przypadku, gdy w budynku mieszkalnym, w którym realizowane jest przedsięwzięcie,</w:t>
      </w:r>
      <w:r w:rsidRPr="00407AE7">
        <w:rPr>
          <w:rFonts w:eastAsia="Times New Roman" w:cstheme="minorHAnsi"/>
          <w:lang w:eastAsia="pl-PL"/>
        </w:rPr>
        <w:br/>
        <w:t>prowadzona jest działalność gospodarcza rozumiana zgodnie z unijnym prawem konkurencji,</w:t>
      </w:r>
      <w:r w:rsidRPr="00407AE7">
        <w:rPr>
          <w:rFonts w:eastAsia="Times New Roman" w:cstheme="minorHAnsi"/>
          <w:lang w:eastAsia="pl-PL"/>
        </w:rPr>
        <w:br/>
        <w:t>wysokość dotacji jest pomniejszana proporcjonalnie do powierzchni zajmowanej na prowadzenie</w:t>
      </w:r>
      <w:r w:rsidRPr="00407AE7">
        <w:rPr>
          <w:rFonts w:eastAsia="Times New Roman" w:cstheme="minorHAnsi"/>
          <w:lang w:eastAsia="pl-PL"/>
        </w:rPr>
        <w:br/>
      </w:r>
      <w:r w:rsidRPr="00CE7504">
        <w:rPr>
          <w:rFonts w:eastAsia="Times New Roman" w:cstheme="minorHAnsi"/>
          <w:lang w:eastAsia="pl-PL"/>
        </w:rPr>
        <w:t xml:space="preserve">działalności gospodarczej. </w:t>
      </w:r>
    </w:p>
    <w:p w:rsidR="008F142B" w:rsidRPr="008F142B" w:rsidRDefault="008F142B" w:rsidP="008F142B">
      <w:pPr>
        <w:spacing w:after="0" w:line="240" w:lineRule="auto"/>
        <w:jc w:val="both"/>
        <w:rPr>
          <w:rStyle w:val="markedcontent"/>
          <w:rFonts w:cstheme="minorHAnsi"/>
        </w:rPr>
      </w:pPr>
      <w:r w:rsidRPr="008F142B">
        <w:rPr>
          <w:rFonts w:eastAsia="Times New Roman" w:cstheme="minorHAnsi"/>
          <w:lang w:eastAsia="pl-PL"/>
        </w:rPr>
        <w:t xml:space="preserve">16) </w:t>
      </w:r>
      <w:r w:rsidRPr="008F142B">
        <w:rPr>
          <w:rStyle w:val="markedcontent"/>
          <w:rFonts w:cstheme="minorHAnsi"/>
        </w:rPr>
        <w:t>Na przedsięwzięcia realizowane w budynkach mieszkalnych, na budowę których po 31 grudnia 2013 r.:</w:t>
      </w:r>
    </w:p>
    <w:p w:rsidR="008F142B" w:rsidRPr="008F142B" w:rsidRDefault="008F142B" w:rsidP="008F142B">
      <w:pPr>
        <w:pStyle w:val="Akapitzlist"/>
        <w:numPr>
          <w:ilvl w:val="0"/>
          <w:numId w:val="16"/>
        </w:numPr>
        <w:spacing w:line="24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8F142B">
        <w:rPr>
          <w:rStyle w:val="markedcontent"/>
          <w:rFonts w:asciiTheme="minorHAnsi" w:hAnsiTheme="minorHAnsi" w:cstheme="minorHAnsi"/>
          <w:sz w:val="22"/>
          <w:szCs w:val="22"/>
        </w:rPr>
        <w:t>został złożony wniosek o pozwolenie na budowę lub odrębny wniosek o zatwierdzenie projektu budowlanego,</w:t>
      </w:r>
    </w:p>
    <w:p w:rsidR="008F142B" w:rsidRPr="008F142B" w:rsidRDefault="008F142B" w:rsidP="008F142B">
      <w:pPr>
        <w:pStyle w:val="Akapitzlist"/>
        <w:numPr>
          <w:ilvl w:val="0"/>
          <w:numId w:val="16"/>
        </w:numPr>
        <w:spacing w:line="24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8F142B">
        <w:rPr>
          <w:rStyle w:val="markedcontent"/>
          <w:rFonts w:asciiTheme="minorHAnsi" w:hAnsiTheme="minorHAnsi" w:cstheme="minorHAnsi"/>
          <w:sz w:val="22"/>
          <w:szCs w:val="22"/>
        </w:rPr>
        <w:t xml:space="preserve">zostało dokonane zgłoszenie budowy lub wykonania robót budowlanych w przypadku, gdy nie jest wymagane uzyskanie decyzji o pozwoleniu na budowę, nie udziela się dofinansowania na zakres kosztów kwalifikowanych w tabeli 3 Załącznika 1a do programu, tj. ocieplenie przegród budowlanych, stolarka okienna i drzwiowa. </w:t>
      </w:r>
    </w:p>
    <w:p w:rsidR="008F142B" w:rsidRDefault="008F142B" w:rsidP="00204FDB">
      <w:pPr>
        <w:pStyle w:val="Heading1"/>
        <w:tabs>
          <w:tab w:val="left" w:pos="352"/>
        </w:tabs>
        <w:ind w:hanging="116"/>
        <w:rPr>
          <w:sz w:val="22"/>
          <w:szCs w:val="22"/>
        </w:rPr>
      </w:pPr>
    </w:p>
    <w:p w:rsidR="00204FDB" w:rsidRPr="00204FDB" w:rsidRDefault="00204FDB" w:rsidP="00204FDB">
      <w:pPr>
        <w:pStyle w:val="Heading1"/>
        <w:tabs>
          <w:tab w:val="left" w:pos="352"/>
        </w:tabs>
        <w:ind w:hanging="116"/>
        <w:rPr>
          <w:sz w:val="22"/>
          <w:szCs w:val="22"/>
        </w:rPr>
      </w:pPr>
      <w:r w:rsidRPr="00204FDB">
        <w:rPr>
          <w:sz w:val="22"/>
          <w:szCs w:val="22"/>
        </w:rPr>
        <w:t>Wymagane</w:t>
      </w:r>
      <w:r w:rsidRPr="00204FDB">
        <w:rPr>
          <w:spacing w:val="-5"/>
          <w:sz w:val="22"/>
          <w:szCs w:val="22"/>
        </w:rPr>
        <w:t xml:space="preserve"> </w:t>
      </w:r>
      <w:r w:rsidRPr="00204FDB">
        <w:rPr>
          <w:sz w:val="22"/>
          <w:szCs w:val="22"/>
        </w:rPr>
        <w:t>załączniki</w:t>
      </w:r>
      <w:r w:rsidRPr="00204FDB">
        <w:rPr>
          <w:spacing w:val="-5"/>
          <w:sz w:val="22"/>
          <w:szCs w:val="22"/>
        </w:rPr>
        <w:t xml:space="preserve"> </w:t>
      </w:r>
      <w:r w:rsidRPr="00204FDB">
        <w:rPr>
          <w:sz w:val="22"/>
          <w:szCs w:val="22"/>
        </w:rPr>
        <w:t xml:space="preserve">do złożenia </w:t>
      </w:r>
      <w:r w:rsidRPr="00204FDB">
        <w:rPr>
          <w:spacing w:val="-2"/>
          <w:sz w:val="22"/>
          <w:szCs w:val="22"/>
        </w:rPr>
        <w:t xml:space="preserve"> wniosku</w:t>
      </w:r>
    </w:p>
    <w:p w:rsidR="00204FDB" w:rsidRPr="00204FDB" w:rsidRDefault="00204FDB" w:rsidP="00204FDB">
      <w:pPr>
        <w:pStyle w:val="Heading1"/>
        <w:tabs>
          <w:tab w:val="left" w:pos="352"/>
        </w:tabs>
        <w:ind w:left="0" w:firstLine="0"/>
        <w:rPr>
          <w:b w:val="0"/>
          <w:spacing w:val="-2"/>
          <w:sz w:val="22"/>
          <w:szCs w:val="22"/>
          <w:u w:val="single"/>
        </w:rPr>
      </w:pPr>
      <w:r w:rsidRPr="00204FDB">
        <w:rPr>
          <w:b w:val="0"/>
          <w:spacing w:val="-2"/>
          <w:sz w:val="22"/>
          <w:szCs w:val="22"/>
          <w:u w:val="single"/>
        </w:rPr>
        <w:t xml:space="preserve">Wspólnota mieszkaniowa od 4 do 7 lokali mieszkalnych </w:t>
      </w:r>
    </w:p>
    <w:p w:rsidR="00204FDB" w:rsidRPr="00204FDB" w:rsidRDefault="00204FDB" w:rsidP="00204FDB">
      <w:pPr>
        <w:pStyle w:val="Heading1"/>
        <w:tabs>
          <w:tab w:val="left" w:pos="352"/>
        </w:tabs>
        <w:ind w:left="142" w:firstLine="0"/>
        <w:rPr>
          <w:spacing w:val="-2"/>
          <w:sz w:val="22"/>
          <w:szCs w:val="22"/>
        </w:rPr>
      </w:pPr>
    </w:p>
    <w:p w:rsidR="00204FDB" w:rsidRPr="00204FDB" w:rsidRDefault="00204FDB" w:rsidP="00204FDB">
      <w:pPr>
        <w:pStyle w:val="Heading1"/>
        <w:tabs>
          <w:tab w:val="left" w:pos="352"/>
        </w:tabs>
        <w:ind w:left="720" w:firstLine="0"/>
        <w:rPr>
          <w:b w:val="0"/>
          <w:spacing w:val="-2"/>
          <w:sz w:val="22"/>
          <w:szCs w:val="22"/>
        </w:rPr>
      </w:pPr>
      <w:r w:rsidRPr="00204FDB">
        <w:rPr>
          <w:b w:val="0"/>
          <w:sz w:val="22"/>
          <w:szCs w:val="22"/>
        </w:rPr>
        <w:t>1.Kopia</w:t>
      </w:r>
      <w:r w:rsidRPr="00204FDB">
        <w:rPr>
          <w:b w:val="0"/>
          <w:spacing w:val="-7"/>
          <w:sz w:val="22"/>
          <w:szCs w:val="22"/>
        </w:rPr>
        <w:t xml:space="preserve"> </w:t>
      </w:r>
      <w:r w:rsidRPr="00204FDB">
        <w:rPr>
          <w:b w:val="0"/>
          <w:sz w:val="22"/>
          <w:szCs w:val="22"/>
        </w:rPr>
        <w:t>uchwały</w:t>
      </w:r>
      <w:r w:rsidRPr="00204FDB">
        <w:rPr>
          <w:b w:val="0"/>
          <w:spacing w:val="-7"/>
          <w:sz w:val="22"/>
          <w:szCs w:val="22"/>
        </w:rPr>
        <w:t xml:space="preserve"> </w:t>
      </w:r>
      <w:r w:rsidRPr="00204FDB">
        <w:rPr>
          <w:b w:val="0"/>
          <w:sz w:val="22"/>
          <w:szCs w:val="22"/>
        </w:rPr>
        <w:t>wspólnoty</w:t>
      </w:r>
      <w:r w:rsidRPr="00204FDB">
        <w:rPr>
          <w:b w:val="0"/>
          <w:spacing w:val="-6"/>
          <w:sz w:val="22"/>
          <w:szCs w:val="22"/>
        </w:rPr>
        <w:t xml:space="preserve"> </w:t>
      </w:r>
      <w:r w:rsidRPr="00204FDB">
        <w:rPr>
          <w:b w:val="0"/>
          <w:sz w:val="22"/>
          <w:szCs w:val="22"/>
        </w:rPr>
        <w:t>mieszkaniowej</w:t>
      </w:r>
      <w:r w:rsidRPr="00204FDB">
        <w:rPr>
          <w:b w:val="0"/>
          <w:spacing w:val="-6"/>
          <w:sz w:val="22"/>
          <w:szCs w:val="22"/>
        </w:rPr>
        <w:t xml:space="preserve"> </w:t>
      </w:r>
      <w:r w:rsidRPr="00204FDB">
        <w:rPr>
          <w:b w:val="0"/>
          <w:sz w:val="22"/>
          <w:szCs w:val="22"/>
        </w:rPr>
        <w:t>umożliwiająca</w:t>
      </w:r>
      <w:r w:rsidRPr="00204FDB">
        <w:rPr>
          <w:b w:val="0"/>
          <w:spacing w:val="-7"/>
          <w:sz w:val="22"/>
          <w:szCs w:val="22"/>
        </w:rPr>
        <w:t xml:space="preserve"> </w:t>
      </w:r>
      <w:r w:rsidRPr="00204FDB">
        <w:rPr>
          <w:b w:val="0"/>
          <w:sz w:val="22"/>
          <w:szCs w:val="22"/>
        </w:rPr>
        <w:t>realizację</w:t>
      </w:r>
      <w:r w:rsidRPr="00204FDB">
        <w:rPr>
          <w:b w:val="0"/>
          <w:spacing w:val="-6"/>
          <w:sz w:val="22"/>
          <w:szCs w:val="22"/>
        </w:rPr>
        <w:t xml:space="preserve"> </w:t>
      </w:r>
      <w:r w:rsidRPr="00204FDB">
        <w:rPr>
          <w:b w:val="0"/>
          <w:spacing w:val="-2"/>
          <w:sz w:val="22"/>
          <w:szCs w:val="22"/>
        </w:rPr>
        <w:t>przedsięwzięcia</w:t>
      </w:r>
    </w:p>
    <w:p w:rsidR="00204FDB" w:rsidRPr="00204FDB" w:rsidRDefault="00204FDB" w:rsidP="00204FDB">
      <w:pPr>
        <w:pStyle w:val="TableParagraph"/>
        <w:spacing w:before="83"/>
        <w:ind w:left="720"/>
        <w:rPr>
          <w:spacing w:val="-2"/>
        </w:rPr>
      </w:pPr>
      <w:r w:rsidRPr="00204FDB">
        <w:t>2. Kopia</w:t>
      </w:r>
      <w:r w:rsidRPr="00204FDB">
        <w:rPr>
          <w:spacing w:val="-4"/>
        </w:rPr>
        <w:t xml:space="preserve"> </w:t>
      </w:r>
      <w:r w:rsidRPr="00204FDB">
        <w:t>uchwały</w:t>
      </w:r>
      <w:r w:rsidRPr="00204FDB">
        <w:rPr>
          <w:spacing w:val="-4"/>
        </w:rPr>
        <w:t xml:space="preserve"> </w:t>
      </w:r>
      <w:r w:rsidRPr="00204FDB">
        <w:t>w</w:t>
      </w:r>
      <w:r w:rsidRPr="00204FDB">
        <w:rPr>
          <w:spacing w:val="-3"/>
        </w:rPr>
        <w:t xml:space="preserve"> </w:t>
      </w:r>
      <w:r w:rsidRPr="00204FDB">
        <w:t>sprawie</w:t>
      </w:r>
      <w:r w:rsidRPr="00204FDB">
        <w:rPr>
          <w:spacing w:val="-4"/>
        </w:rPr>
        <w:t xml:space="preserve"> </w:t>
      </w:r>
      <w:r w:rsidRPr="00204FDB">
        <w:t>wyboru</w:t>
      </w:r>
      <w:r w:rsidRPr="00204FDB">
        <w:rPr>
          <w:spacing w:val="-4"/>
        </w:rPr>
        <w:t xml:space="preserve"> </w:t>
      </w:r>
      <w:r w:rsidRPr="00204FDB">
        <w:t>zarządu</w:t>
      </w:r>
      <w:r w:rsidRPr="00204FDB">
        <w:rPr>
          <w:spacing w:val="-3"/>
        </w:rPr>
        <w:t xml:space="preserve"> </w:t>
      </w:r>
      <w:r w:rsidRPr="00204FDB">
        <w:rPr>
          <w:spacing w:val="-2"/>
        </w:rPr>
        <w:t>wspólnoty</w:t>
      </w:r>
    </w:p>
    <w:p w:rsidR="00204FDB" w:rsidRPr="00204FDB" w:rsidRDefault="00204FDB" w:rsidP="00204FDB">
      <w:pPr>
        <w:pStyle w:val="Tekstpodstawowy"/>
        <w:spacing w:before="125"/>
        <w:jc w:val="both"/>
        <w:rPr>
          <w:sz w:val="22"/>
          <w:szCs w:val="22"/>
          <w:u w:val="single"/>
        </w:rPr>
      </w:pPr>
      <w:r w:rsidRPr="00204FDB">
        <w:rPr>
          <w:rFonts w:asciiTheme="minorHAnsi" w:hAnsiTheme="minorHAnsi" w:cstheme="minorHAnsi"/>
          <w:sz w:val="22"/>
          <w:szCs w:val="22"/>
          <w:u w:val="single"/>
        </w:rPr>
        <w:t xml:space="preserve">3 lokale mieszkalne (są małą wspólnotą) i mają zastosowania </w:t>
      </w:r>
      <w:r w:rsidRPr="00204FDB">
        <w:rPr>
          <w:sz w:val="22"/>
          <w:szCs w:val="22"/>
          <w:u w:val="single"/>
        </w:rPr>
        <w:t>przepisy Kodeksu cywilnego i Kodeksu postępowania cywilnego o współwłasności.</w:t>
      </w:r>
    </w:p>
    <w:p w:rsidR="00204FDB" w:rsidRPr="00204FDB" w:rsidRDefault="00204FDB" w:rsidP="00204FDB">
      <w:pPr>
        <w:pStyle w:val="Tekstpodstawowy"/>
        <w:spacing w:before="125"/>
        <w:ind w:left="720"/>
        <w:rPr>
          <w:rFonts w:asciiTheme="minorHAnsi" w:hAnsiTheme="minorHAnsi" w:cstheme="minorHAnsi"/>
          <w:sz w:val="22"/>
          <w:szCs w:val="22"/>
        </w:rPr>
      </w:pPr>
      <w:r w:rsidRPr="00204FDB">
        <w:rPr>
          <w:rFonts w:asciiTheme="minorHAnsi" w:hAnsiTheme="minorHAnsi" w:cstheme="minorHAnsi"/>
          <w:sz w:val="22"/>
          <w:szCs w:val="22"/>
        </w:rPr>
        <w:t xml:space="preserve">1.Kopia umowy cywilnoprawnej właścicieli budynku umożliwiająca realizację przedsięwzięcia </w:t>
      </w:r>
    </w:p>
    <w:p w:rsidR="00204FDB" w:rsidRPr="00204FDB" w:rsidRDefault="00204FDB" w:rsidP="00204FDB">
      <w:pPr>
        <w:pStyle w:val="Tekstpodstawowy"/>
        <w:spacing w:before="125"/>
        <w:ind w:left="720"/>
        <w:rPr>
          <w:rFonts w:asciiTheme="minorHAnsi" w:hAnsiTheme="minorHAnsi" w:cstheme="minorHAnsi"/>
          <w:sz w:val="22"/>
          <w:szCs w:val="22"/>
        </w:rPr>
      </w:pPr>
      <w:r w:rsidRPr="00204FDB">
        <w:rPr>
          <w:rFonts w:asciiTheme="minorHAnsi" w:hAnsiTheme="minorHAnsi" w:cstheme="minorHAnsi"/>
          <w:sz w:val="22"/>
          <w:szCs w:val="22"/>
        </w:rPr>
        <w:t>2. Kopie aktualnych dokumentów potwierdzających tytuł prawny do lokali mieszkalnych</w:t>
      </w:r>
    </w:p>
    <w:p w:rsidR="008F142B" w:rsidRDefault="008F142B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77FE2">
        <w:rPr>
          <w:rFonts w:eastAsia="Times New Roman" w:cstheme="minorHAnsi"/>
          <w:b/>
          <w:lang w:eastAsia="pl-PL"/>
        </w:rPr>
        <w:lastRenderedPageBreak/>
        <w:t>Gdzie składać wnioski?</w:t>
      </w:r>
    </w:p>
    <w:p w:rsidR="002B282F" w:rsidRPr="006D135E" w:rsidRDefault="007C0538" w:rsidP="006D135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6D135E">
        <w:rPr>
          <w:rFonts w:asciiTheme="minorHAnsi" w:hAnsiTheme="minorHAnsi" w:cstheme="minorHAnsi"/>
          <w:sz w:val="22"/>
          <w:szCs w:val="22"/>
        </w:rPr>
        <w:t xml:space="preserve"> w formie papierowej: Urząd </w:t>
      </w:r>
      <w:r w:rsidR="002B282F" w:rsidRPr="006D135E">
        <w:rPr>
          <w:rFonts w:asciiTheme="minorHAnsi" w:hAnsiTheme="minorHAnsi" w:cstheme="minorHAnsi"/>
          <w:sz w:val="22"/>
          <w:szCs w:val="22"/>
        </w:rPr>
        <w:t>Miasta Jelenia Góra Wydział Ochrony Środowiska  ul. Okrzei 10</w:t>
      </w:r>
      <w:r w:rsidR="008B6A19" w:rsidRPr="006D135E">
        <w:rPr>
          <w:rFonts w:asciiTheme="minorHAnsi" w:hAnsiTheme="minorHAnsi" w:cstheme="minorHAnsi"/>
          <w:sz w:val="22"/>
          <w:szCs w:val="22"/>
        </w:rPr>
        <w:t>,</w:t>
      </w:r>
      <w:r w:rsidR="002B282F" w:rsidRPr="006D135E">
        <w:rPr>
          <w:rFonts w:asciiTheme="minorHAnsi" w:hAnsiTheme="minorHAnsi" w:cstheme="minorHAnsi"/>
          <w:sz w:val="22"/>
          <w:szCs w:val="22"/>
        </w:rPr>
        <w:t xml:space="preserve"> Jelenia Góra</w:t>
      </w:r>
      <w:r w:rsidR="008B6A19" w:rsidRPr="006D135E">
        <w:rPr>
          <w:rFonts w:asciiTheme="minorHAnsi" w:hAnsiTheme="minorHAnsi" w:cstheme="minorHAnsi"/>
          <w:sz w:val="22"/>
          <w:szCs w:val="22"/>
        </w:rPr>
        <w:t xml:space="preserve"> 58-500</w:t>
      </w:r>
      <w:r w:rsidR="002B282F" w:rsidRPr="006D135E">
        <w:rPr>
          <w:rFonts w:asciiTheme="minorHAnsi" w:hAnsiTheme="minorHAnsi" w:cstheme="minorHAnsi"/>
          <w:sz w:val="22"/>
          <w:szCs w:val="22"/>
        </w:rPr>
        <w:t>, pokój 213,  piętro - II (jest winda)</w:t>
      </w:r>
      <w:r w:rsidRPr="006D135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57538" w:rsidRDefault="00A57538" w:rsidP="006D135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FB6A2C">
        <w:rPr>
          <w:rFonts w:asciiTheme="minorHAnsi" w:hAnsiTheme="minorHAnsi" w:cstheme="minorHAnsi"/>
          <w:sz w:val="22"/>
          <w:szCs w:val="22"/>
        </w:rPr>
        <w:t xml:space="preserve"> w formie elektronicznej: </w:t>
      </w:r>
      <w:r w:rsidR="00FB6A2C" w:rsidRPr="00FB6A2C">
        <w:rPr>
          <w:rFonts w:asciiTheme="minorHAnsi" w:hAnsiTheme="minorHAnsi" w:cstheme="minorHAnsi"/>
          <w:sz w:val="22"/>
          <w:szCs w:val="22"/>
        </w:rPr>
        <w:t>na skrzynkę podawczą Urzędu Miasta Jelenia Góra  znajdującą się na elektronicznej Platformie Usług A</w:t>
      </w:r>
      <w:r w:rsidR="00FB6A2C">
        <w:rPr>
          <w:rFonts w:asciiTheme="minorHAnsi" w:hAnsiTheme="minorHAnsi" w:cstheme="minorHAnsi"/>
          <w:sz w:val="22"/>
          <w:szCs w:val="22"/>
        </w:rPr>
        <w:t xml:space="preserve">dministracji Publicznej (ePUAP). </w:t>
      </w:r>
      <w:r w:rsidRPr="00FB6A2C">
        <w:rPr>
          <w:rFonts w:asciiTheme="minorHAnsi" w:hAnsiTheme="minorHAnsi" w:cstheme="minorHAnsi"/>
          <w:sz w:val="22"/>
          <w:szCs w:val="22"/>
        </w:rPr>
        <w:t>Adres skrytki ePUAP: /UMJG/SkrytkaESP.</w:t>
      </w:r>
    </w:p>
    <w:p w:rsidR="007C0538" w:rsidRPr="00A77FE2" w:rsidRDefault="007C0538" w:rsidP="002B282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77FE2">
        <w:rPr>
          <w:rFonts w:eastAsia="Times New Roman" w:cstheme="minorHAnsi"/>
          <w:lang w:eastAsia="pl-PL"/>
        </w:rPr>
        <w:t xml:space="preserve">Szczegółowe informacje o składaniu i rozpatrywaniu wniosków o dofinansowanie zawarte są w Regulaminie naboru wniosków o dofinansowanie przedsięwzięć w ramach </w:t>
      </w:r>
      <w:r w:rsidR="00A508CC">
        <w:rPr>
          <w:rFonts w:eastAsia="Times New Roman" w:cstheme="minorHAnsi"/>
          <w:lang w:eastAsia="pl-PL"/>
        </w:rPr>
        <w:t>Programu P</w:t>
      </w:r>
      <w:r w:rsidRPr="00A77FE2">
        <w:rPr>
          <w:rFonts w:eastAsia="Times New Roman" w:cstheme="minorHAnsi"/>
          <w:lang w:eastAsia="pl-PL"/>
        </w:rPr>
        <w:t>riorytetowego </w:t>
      </w:r>
      <w:r w:rsidR="00A508CC">
        <w:rPr>
          <w:rFonts w:eastAsia="Times New Roman" w:cstheme="minorHAnsi"/>
          <w:lang w:eastAsia="pl-PL"/>
        </w:rPr>
        <w:t>„</w:t>
      </w:r>
      <w:r w:rsidRPr="00A77FE2">
        <w:rPr>
          <w:rFonts w:eastAsia="Times New Roman" w:cstheme="minorHAnsi"/>
          <w:lang w:eastAsia="pl-PL"/>
        </w:rPr>
        <w:t>Ciepłe Mieszkanie</w:t>
      </w:r>
      <w:r w:rsidR="00A508CC">
        <w:rPr>
          <w:rFonts w:eastAsia="Times New Roman" w:cstheme="minorHAnsi"/>
          <w:lang w:eastAsia="pl-PL"/>
        </w:rPr>
        <w:t>”</w:t>
      </w:r>
      <w:r w:rsidR="009F26C9">
        <w:rPr>
          <w:rFonts w:eastAsia="Times New Roman" w:cstheme="minorHAnsi"/>
          <w:lang w:eastAsia="pl-PL"/>
        </w:rPr>
        <w:t xml:space="preserve"> nabór II</w:t>
      </w:r>
      <w:r w:rsidRPr="00A77FE2">
        <w:rPr>
          <w:rFonts w:eastAsia="Times New Roman" w:cstheme="minorHAnsi"/>
          <w:lang w:eastAsia="pl-PL"/>
        </w:rPr>
        <w:t> </w:t>
      </w:r>
      <w:r w:rsidR="002B282F" w:rsidRPr="00A77FE2">
        <w:rPr>
          <w:rFonts w:eastAsia="Times New Roman" w:cstheme="minorHAnsi"/>
          <w:lang w:eastAsia="pl-PL"/>
        </w:rPr>
        <w:t xml:space="preserve">na terenie miasta Jelenia Góra. </w:t>
      </w:r>
    </w:p>
    <w:p w:rsidR="007C0538" w:rsidRPr="004527F5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77FE2">
        <w:rPr>
          <w:rFonts w:eastAsia="Times New Roman" w:cstheme="minorHAnsi"/>
          <w:lang w:eastAsia="pl-PL"/>
        </w:rPr>
        <w:t>Najczęściej zadawane pytania: </w:t>
      </w:r>
      <w:r w:rsidR="009F26C9" w:rsidRPr="00A77FE2">
        <w:rPr>
          <w:rFonts w:eastAsia="Times New Roman" w:cstheme="minorHAnsi"/>
          <w:lang w:eastAsia="pl-PL"/>
        </w:rPr>
        <w:t xml:space="preserve"> </w:t>
      </w:r>
      <w:hyperlink r:id="rId7" w:history="1">
        <w:r w:rsidR="009F26C9" w:rsidRPr="0075292C">
          <w:rPr>
            <w:rStyle w:val="Hipercze"/>
            <w:rFonts w:eastAsia="Times New Roman" w:cstheme="minorHAnsi"/>
            <w:lang w:eastAsia="pl-PL"/>
          </w:rPr>
          <w:t>https://czystepowietrze.gov.pl/inne-programy/cieple-mieszkanie/pytania-i-odpowiedzi/beneficjent-koncowy</w:t>
        </w:r>
      </w:hyperlink>
      <w:r w:rsidR="009F26C9">
        <w:rPr>
          <w:rFonts w:eastAsia="Times New Roman" w:cstheme="minorHAnsi"/>
          <w:lang w:eastAsia="pl-PL"/>
        </w:rPr>
        <w:t xml:space="preserve">  </w:t>
      </w:r>
      <w:r w:rsidR="009F26C9" w:rsidRPr="004527F5">
        <w:rPr>
          <w:rFonts w:eastAsia="Times New Roman" w:cstheme="minorHAnsi"/>
          <w:b/>
          <w:lang w:eastAsia="pl-PL"/>
        </w:rPr>
        <w:t>nabór II</w:t>
      </w:r>
    </w:p>
    <w:p w:rsidR="002B282F" w:rsidRDefault="002B282F" w:rsidP="00A77FE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508CC">
        <w:rPr>
          <w:rFonts w:eastAsia="Times New Roman" w:cstheme="minorHAnsi"/>
          <w:lang w:eastAsia="pl-PL"/>
        </w:rPr>
        <w:t xml:space="preserve">Materiał opracowano na podstawie ogłoszonego naboru dla Gmin przez Wojewódzki Fundusz Ochrony Środowiska i Gospodarki Wodnej we Wrocławiu: </w:t>
      </w:r>
      <w:hyperlink r:id="rId8" w:history="1">
        <w:r w:rsidR="009F26C9" w:rsidRPr="0075292C">
          <w:rPr>
            <w:rStyle w:val="Hipercze"/>
            <w:rFonts w:eastAsia="Times New Roman" w:cstheme="minorHAnsi"/>
            <w:lang w:eastAsia="pl-PL"/>
          </w:rPr>
          <w:t>https://wfosigw.wroclaw.pl/zloz-wniosek/cieple-mieszkanie-ii/w_701,dokumenty-programowe</w:t>
        </w:r>
      </w:hyperlink>
    </w:p>
    <w:p w:rsidR="007C0538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77FE2">
        <w:rPr>
          <w:rFonts w:eastAsia="Times New Roman" w:cstheme="minorHAnsi"/>
          <w:b/>
          <w:lang w:eastAsia="pl-PL"/>
        </w:rPr>
        <w:t>Dane kontaktowe w ramach prowadzonego naboru wniosków:</w:t>
      </w:r>
    </w:p>
    <w:p w:rsidR="002B282F" w:rsidRPr="00A77FE2" w:rsidRDefault="002B282F" w:rsidP="007C0538">
      <w:pPr>
        <w:spacing w:before="100" w:beforeAutospacing="1" w:after="100" w:afterAutospacing="1" w:line="240" w:lineRule="auto"/>
        <w:rPr>
          <w:rFonts w:eastAsia="Times New Roman" w:cstheme="minorHAnsi"/>
          <w:lang w:val="en-US" w:eastAsia="pl-PL"/>
        </w:rPr>
      </w:pPr>
      <w:r w:rsidRPr="00A77FE2">
        <w:rPr>
          <w:rFonts w:eastAsia="Times New Roman" w:cstheme="minorHAnsi"/>
          <w:lang w:val="en-US" w:eastAsia="pl-PL"/>
        </w:rPr>
        <w:t>t</w:t>
      </w:r>
      <w:r w:rsidR="007C0538" w:rsidRPr="00A77FE2">
        <w:rPr>
          <w:rFonts w:eastAsia="Times New Roman" w:cstheme="minorHAnsi"/>
          <w:lang w:val="en-US" w:eastAsia="pl-PL"/>
        </w:rPr>
        <w:t xml:space="preserve">el.: </w:t>
      </w:r>
      <w:r w:rsidRPr="00A77FE2">
        <w:rPr>
          <w:rFonts w:eastAsia="Times New Roman" w:cstheme="minorHAnsi"/>
          <w:lang w:val="en-US" w:eastAsia="pl-PL"/>
        </w:rPr>
        <w:t>75 75</w:t>
      </w:r>
      <w:r w:rsidR="00E67C6F">
        <w:rPr>
          <w:rFonts w:eastAsia="Times New Roman" w:cstheme="minorHAnsi"/>
          <w:lang w:val="en-US" w:eastAsia="pl-PL"/>
        </w:rPr>
        <w:t xml:space="preserve"> </w:t>
      </w:r>
      <w:r w:rsidRPr="00A77FE2">
        <w:rPr>
          <w:rFonts w:eastAsia="Times New Roman" w:cstheme="minorHAnsi"/>
          <w:lang w:val="en-US" w:eastAsia="pl-PL"/>
        </w:rPr>
        <w:t>49 855</w:t>
      </w:r>
    </w:p>
    <w:p w:rsidR="00525BCE" w:rsidRPr="00A77FE2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lang w:val="en-US" w:eastAsia="pl-PL"/>
        </w:rPr>
      </w:pPr>
      <w:r w:rsidRPr="00A77FE2">
        <w:rPr>
          <w:rFonts w:eastAsia="Times New Roman" w:cstheme="minorHAnsi"/>
          <w:lang w:val="en-US" w:eastAsia="pl-PL"/>
        </w:rPr>
        <w:t>e-mail: </w:t>
      </w:r>
      <w:r w:rsidR="00525BCE" w:rsidRPr="00A77FE2">
        <w:rPr>
          <w:rFonts w:eastAsia="Times New Roman" w:cstheme="minorHAnsi"/>
          <w:lang w:val="en-US" w:eastAsia="pl-PL"/>
        </w:rPr>
        <w:t xml:space="preserve"> cieplemieszkanie@jeleniagora.pl </w:t>
      </w:r>
    </w:p>
    <w:p w:rsidR="003F2287" w:rsidRDefault="007C0538" w:rsidP="003F228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77FE2">
        <w:rPr>
          <w:rFonts w:eastAsia="Times New Roman" w:cstheme="minorHAnsi"/>
          <w:b/>
          <w:bCs/>
          <w:lang w:eastAsia="pl-PL"/>
        </w:rPr>
        <w:t>Załączniki:</w:t>
      </w:r>
      <w:r w:rsidR="002B282F" w:rsidRPr="00A77FE2">
        <w:rPr>
          <w:rFonts w:eastAsia="Times New Roman" w:cstheme="minorHAnsi"/>
          <w:b/>
          <w:bCs/>
          <w:lang w:eastAsia="pl-PL"/>
        </w:rPr>
        <w:t xml:space="preserve"> 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Program  Priorytetowy „Ciepłe Mieszkanie”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Rodzaje kosztów kwalifikowanych oraz wymagania techniczne [.pdf]</w:t>
      </w:r>
    </w:p>
    <w:p w:rsidR="0009585C" w:rsidRPr="005B40CF" w:rsidRDefault="0009585C" w:rsidP="000958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Zał. 7 Klauzula RODO WFOŚ</w:t>
      </w:r>
      <w:r w:rsidR="009C6CDD" w:rsidRPr="005B40CF">
        <w:rPr>
          <w:rFonts w:asciiTheme="minorHAnsi" w:hAnsiTheme="minorHAnsi" w:cstheme="minorHAnsi"/>
          <w:bCs/>
          <w:sz w:val="22"/>
          <w:szCs w:val="22"/>
        </w:rPr>
        <w:t>iGW</w:t>
      </w:r>
    </w:p>
    <w:p w:rsidR="0009585C" w:rsidRPr="005B40CF" w:rsidRDefault="003F2287" w:rsidP="000958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Lista sprawdzająca przedsięwzięcia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 xml:space="preserve">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Wnios</w:t>
      </w:r>
      <w:r w:rsidR="00CE7504" w:rsidRPr="005B40CF">
        <w:rPr>
          <w:rFonts w:asciiTheme="minorHAnsi" w:hAnsiTheme="minorHAnsi" w:cstheme="minorHAnsi"/>
          <w:bCs/>
          <w:sz w:val="22"/>
          <w:szCs w:val="22"/>
        </w:rPr>
        <w:t>ki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o dofinansowanie [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>.pdf</w:t>
      </w:r>
      <w:r w:rsidRPr="005B40CF">
        <w:rPr>
          <w:rFonts w:asciiTheme="minorHAnsi" w:hAnsiTheme="minorHAnsi" w:cstheme="minorHAnsi"/>
          <w:bCs/>
          <w:sz w:val="22"/>
          <w:szCs w:val="22"/>
        </w:rPr>
        <w:t>]</w:t>
      </w:r>
    </w:p>
    <w:p w:rsidR="0009585C" w:rsidRPr="005B40CF" w:rsidRDefault="0009585C" w:rsidP="0009585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Instrukcj</w:t>
      </w:r>
      <w:r w:rsidR="00CE7504" w:rsidRPr="005B40CF">
        <w:rPr>
          <w:rFonts w:asciiTheme="minorHAnsi" w:hAnsiTheme="minorHAnsi" w:cstheme="minorHAnsi"/>
          <w:bCs/>
          <w:sz w:val="22"/>
          <w:szCs w:val="22"/>
        </w:rPr>
        <w:t>e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wniosk</w:t>
      </w:r>
      <w:r w:rsidR="00CE7504" w:rsidRPr="005B40CF">
        <w:rPr>
          <w:rFonts w:asciiTheme="minorHAnsi" w:hAnsiTheme="minorHAnsi" w:cstheme="minorHAnsi"/>
          <w:bCs/>
          <w:sz w:val="22"/>
          <w:szCs w:val="22"/>
        </w:rPr>
        <w:t>ów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o dofinansowanie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Zgoda wspó</w:t>
      </w:r>
      <w:r w:rsidR="00B2625D">
        <w:rPr>
          <w:rFonts w:asciiTheme="minorHAnsi" w:hAnsiTheme="minorHAnsi" w:cstheme="minorHAnsi"/>
          <w:bCs/>
          <w:sz w:val="22"/>
          <w:szCs w:val="22"/>
        </w:rPr>
        <w:t>łnajemcy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Zgoda współmałżonka [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>.</w:t>
      </w:r>
      <w:r w:rsidRPr="005B40CF">
        <w:rPr>
          <w:rFonts w:asciiTheme="minorHAnsi" w:hAnsiTheme="minorHAnsi" w:cstheme="minorHAnsi"/>
          <w:bCs/>
          <w:sz w:val="22"/>
          <w:szCs w:val="22"/>
        </w:rPr>
        <w:t>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Wzór pełnomocnictwa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Wzór projektu umowy z beneficjentem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Wniosk</w:t>
      </w:r>
      <w:r w:rsidR="00CE7504" w:rsidRPr="005B40CF">
        <w:rPr>
          <w:rFonts w:asciiTheme="minorHAnsi" w:hAnsiTheme="minorHAnsi" w:cstheme="minorHAnsi"/>
          <w:bCs/>
          <w:sz w:val="22"/>
          <w:szCs w:val="22"/>
        </w:rPr>
        <w:t>i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o płatność [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>.</w:t>
      </w:r>
      <w:r w:rsidRPr="005B40CF">
        <w:rPr>
          <w:rFonts w:asciiTheme="minorHAnsi" w:hAnsiTheme="minorHAnsi" w:cstheme="minorHAnsi"/>
          <w:bCs/>
          <w:sz w:val="22"/>
          <w:szCs w:val="22"/>
        </w:rPr>
        <w:t>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Instrukcj</w:t>
      </w:r>
      <w:r w:rsidR="00CE7504" w:rsidRPr="005B40CF">
        <w:rPr>
          <w:rFonts w:asciiTheme="minorHAnsi" w:hAnsiTheme="minorHAnsi" w:cstheme="minorHAnsi"/>
          <w:bCs/>
          <w:sz w:val="22"/>
          <w:szCs w:val="22"/>
        </w:rPr>
        <w:t>e do wniosków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o płatność [.pdf]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Zestawienie dokumentów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 xml:space="preserve"> do wniosku o płatność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[.lsx]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Zestawienie dokumentów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 xml:space="preserve"> do wniosku o płatność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[.ocx]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Wzór protokołu odbioru</w:t>
      </w:r>
      <w:r w:rsidR="0009585C" w:rsidRPr="005B40CF">
        <w:rPr>
          <w:rFonts w:asciiTheme="minorHAnsi" w:hAnsiTheme="minorHAnsi" w:cstheme="minorHAnsi"/>
          <w:bCs/>
          <w:sz w:val="22"/>
          <w:szCs w:val="22"/>
        </w:rPr>
        <w:t xml:space="preserve"> prac wykonawcy</w:t>
      </w:r>
      <w:r w:rsidRPr="005B40CF">
        <w:rPr>
          <w:rFonts w:asciiTheme="minorHAnsi" w:hAnsiTheme="minorHAnsi" w:cstheme="minorHAnsi"/>
          <w:bCs/>
          <w:sz w:val="22"/>
          <w:szCs w:val="22"/>
        </w:rPr>
        <w:t xml:space="preserve"> [.pdf]</w:t>
      </w:r>
    </w:p>
    <w:p w:rsidR="005B40CF" w:rsidRPr="005B40CF" w:rsidRDefault="005B40CF" w:rsidP="005B40C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B40CF">
        <w:rPr>
          <w:rFonts w:asciiTheme="minorHAnsi" w:hAnsiTheme="minorHAnsi" w:cstheme="minorHAnsi"/>
          <w:sz w:val="22"/>
          <w:szCs w:val="22"/>
        </w:rPr>
        <w:t xml:space="preserve">zór dokumentu podsumowującego audyt energetyczny </w:t>
      </w:r>
      <w:r w:rsidRPr="005B40CF">
        <w:rPr>
          <w:rFonts w:asciiTheme="minorHAnsi" w:hAnsiTheme="minorHAnsi" w:cstheme="minorHAnsi"/>
          <w:bCs/>
          <w:sz w:val="22"/>
          <w:szCs w:val="22"/>
        </w:rPr>
        <w:t>[.</w:t>
      </w:r>
      <w:r w:rsidR="00841BC6" w:rsidRPr="005B40CF">
        <w:rPr>
          <w:rFonts w:asciiTheme="minorHAnsi" w:hAnsiTheme="minorHAnsi" w:cstheme="minorHAnsi"/>
          <w:bCs/>
          <w:sz w:val="22"/>
          <w:szCs w:val="22"/>
        </w:rPr>
        <w:t>lsx</w:t>
      </w:r>
      <w:r w:rsidRPr="005B40CF">
        <w:rPr>
          <w:rFonts w:asciiTheme="minorHAnsi" w:hAnsiTheme="minorHAnsi" w:cstheme="minorHAnsi"/>
          <w:bCs/>
          <w:sz w:val="22"/>
          <w:szCs w:val="22"/>
        </w:rPr>
        <w:t>]</w:t>
      </w:r>
    </w:p>
    <w:p w:rsidR="003F2287" w:rsidRPr="005B40CF" w:rsidRDefault="003F2287" w:rsidP="003F228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B40CF">
        <w:rPr>
          <w:rFonts w:asciiTheme="minorHAnsi" w:hAnsiTheme="minorHAnsi" w:cstheme="minorHAnsi"/>
          <w:bCs/>
          <w:sz w:val="22"/>
          <w:szCs w:val="22"/>
        </w:rPr>
        <w:t>Zarządzenie  Prezydenta Miasta Jeleniej Góry  [.pdf]</w:t>
      </w:r>
    </w:p>
    <w:p w:rsidR="007C0538" w:rsidRPr="0007487B" w:rsidRDefault="007C0538" w:rsidP="007C0538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pl-PL"/>
        </w:rPr>
      </w:pPr>
    </w:p>
    <w:sectPr w:rsidR="007C0538" w:rsidRPr="0007487B" w:rsidSect="00A77FE2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27" w:rsidRDefault="004F5627" w:rsidP="00A77FE2">
      <w:pPr>
        <w:spacing w:after="0" w:line="240" w:lineRule="auto"/>
      </w:pPr>
      <w:r>
        <w:separator/>
      </w:r>
    </w:p>
  </w:endnote>
  <w:endnote w:type="continuationSeparator" w:id="1">
    <w:p w:rsidR="004F5627" w:rsidRDefault="004F5627" w:rsidP="00A7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1547"/>
      <w:docPartObj>
        <w:docPartGallery w:val="Page Numbers (Bottom of Page)"/>
        <w:docPartUnique/>
      </w:docPartObj>
    </w:sdtPr>
    <w:sdtContent>
      <w:p w:rsidR="00A77FE2" w:rsidRDefault="004471E8">
        <w:pPr>
          <w:pStyle w:val="Stopka"/>
          <w:jc w:val="center"/>
        </w:pPr>
        <w:fldSimple w:instr=" PAGE   \* MERGEFORMAT ">
          <w:r w:rsidR="002B66FF">
            <w:rPr>
              <w:noProof/>
            </w:rPr>
            <w:t>9</w:t>
          </w:r>
        </w:fldSimple>
      </w:p>
    </w:sdtContent>
  </w:sdt>
  <w:p w:rsidR="00A77FE2" w:rsidRDefault="00A77F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27" w:rsidRDefault="004F5627" w:rsidP="00A77FE2">
      <w:pPr>
        <w:spacing w:after="0" w:line="240" w:lineRule="auto"/>
      </w:pPr>
      <w:r>
        <w:separator/>
      </w:r>
    </w:p>
  </w:footnote>
  <w:footnote w:type="continuationSeparator" w:id="1">
    <w:p w:rsidR="004F5627" w:rsidRDefault="004F5627" w:rsidP="00A7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E2" w:rsidRDefault="00A77FE2" w:rsidP="00A77FE2">
    <w:pPr>
      <w:pStyle w:val="Nagwek"/>
      <w:pBdr>
        <w:bottom w:val="single" w:sz="4" w:space="1" w:color="auto"/>
      </w:pBdr>
      <w:rPr>
        <w:noProof/>
        <w:lang w:eastAsia="pl-PL"/>
      </w:rPr>
    </w:pPr>
  </w:p>
  <w:p w:rsidR="00A77FE2" w:rsidRPr="00057F4F" w:rsidRDefault="00A77FE2" w:rsidP="00A77FE2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>
          <wp:extent cx="1456267" cy="819150"/>
          <wp:effectExtent l="0" t="0" r="0" b="0"/>
          <wp:docPr id="1" name="Obraz 2" descr="C:\Users\msluzewska\AppData\Local\Temp\Temp1_PLIKI_PRODUKCYJNE_LOGO.zip\PLIKI_PRODUKCYJNE_LOGO\LOGO_Z_HASLEM\RGB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luzewska\AppData\Local\Temp\Temp1_PLIKI_PRODUKCYJNE_LOGO.zip\PLIKI_PRODUKCYJNE_LOGO\LOGO_Z_HASLEM\RGB\Jelenia_Gor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267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1716405</wp:posOffset>
          </wp:positionH>
          <wp:positionV relativeFrom="paragraph">
            <wp:posOffset>-66040</wp:posOffset>
          </wp:positionV>
          <wp:extent cx="1876425" cy="67881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4827905</wp:posOffset>
          </wp:positionH>
          <wp:positionV relativeFrom="paragraph">
            <wp:posOffset>-11430</wp:posOffset>
          </wp:positionV>
          <wp:extent cx="1368425" cy="576580"/>
          <wp:effectExtent l="19050" t="0" r="3175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7FE2" w:rsidRPr="00FE5030" w:rsidRDefault="00A77FE2" w:rsidP="00A77FE2">
    <w:pPr>
      <w:pStyle w:val="Nagwek"/>
      <w:rPr>
        <w:rFonts w:ascii="Calibri" w:hAnsi="Calibri"/>
        <w:b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05pt;height:25.05pt;visibility:visible" o:bullet="t">
        <v:imagedata r:id="rId1" o:title=""/>
      </v:shape>
    </w:pict>
  </w:numPicBullet>
  <w:abstractNum w:abstractNumId="0">
    <w:nsid w:val="035E5AAD"/>
    <w:multiLevelType w:val="multilevel"/>
    <w:tmpl w:val="F374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025F"/>
    <w:multiLevelType w:val="multilevel"/>
    <w:tmpl w:val="DF1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695" w:hanging="615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55D44"/>
    <w:multiLevelType w:val="multilevel"/>
    <w:tmpl w:val="9E5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73AE4"/>
    <w:multiLevelType w:val="multilevel"/>
    <w:tmpl w:val="13EE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46E6A"/>
    <w:multiLevelType w:val="hybridMultilevel"/>
    <w:tmpl w:val="5F664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1698B"/>
    <w:multiLevelType w:val="multilevel"/>
    <w:tmpl w:val="AAF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D7CC2"/>
    <w:multiLevelType w:val="multilevel"/>
    <w:tmpl w:val="EF4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64E88"/>
    <w:multiLevelType w:val="hybridMultilevel"/>
    <w:tmpl w:val="1A62A282"/>
    <w:lvl w:ilvl="0" w:tplc="541881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3AE"/>
    <w:multiLevelType w:val="hybridMultilevel"/>
    <w:tmpl w:val="0C7E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20FC0"/>
    <w:multiLevelType w:val="hybridMultilevel"/>
    <w:tmpl w:val="F80E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D4C62"/>
    <w:multiLevelType w:val="multilevel"/>
    <w:tmpl w:val="F7B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A11CF"/>
    <w:multiLevelType w:val="hybridMultilevel"/>
    <w:tmpl w:val="DE924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A6666"/>
    <w:multiLevelType w:val="hybridMultilevel"/>
    <w:tmpl w:val="7260368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A3192"/>
    <w:multiLevelType w:val="hybridMultilevel"/>
    <w:tmpl w:val="DBB2FED8"/>
    <w:lvl w:ilvl="0" w:tplc="54188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FE5ED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1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06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28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4D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23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06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A03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7B65115"/>
    <w:multiLevelType w:val="hybridMultilevel"/>
    <w:tmpl w:val="BD7AA73E"/>
    <w:lvl w:ilvl="0" w:tplc="6B4CBCB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345C0C"/>
    <w:multiLevelType w:val="hybridMultilevel"/>
    <w:tmpl w:val="0B7015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538"/>
    <w:rsid w:val="0005004C"/>
    <w:rsid w:val="00062A0F"/>
    <w:rsid w:val="0007487B"/>
    <w:rsid w:val="000810F2"/>
    <w:rsid w:val="00092B3A"/>
    <w:rsid w:val="0009585C"/>
    <w:rsid w:val="000A35F6"/>
    <w:rsid w:val="000D0FCF"/>
    <w:rsid w:val="000F47AE"/>
    <w:rsid w:val="001328B7"/>
    <w:rsid w:val="00160841"/>
    <w:rsid w:val="001C2B37"/>
    <w:rsid w:val="001F4A3A"/>
    <w:rsid w:val="00204298"/>
    <w:rsid w:val="00204FDB"/>
    <w:rsid w:val="00223A7C"/>
    <w:rsid w:val="002B282F"/>
    <w:rsid w:val="002B66FF"/>
    <w:rsid w:val="002C5FFB"/>
    <w:rsid w:val="002E2A00"/>
    <w:rsid w:val="002E398B"/>
    <w:rsid w:val="00331BF1"/>
    <w:rsid w:val="00364B42"/>
    <w:rsid w:val="00366CE2"/>
    <w:rsid w:val="003750D4"/>
    <w:rsid w:val="003C45F1"/>
    <w:rsid w:val="003D069E"/>
    <w:rsid w:val="003D4FA6"/>
    <w:rsid w:val="003F2287"/>
    <w:rsid w:val="0040164E"/>
    <w:rsid w:val="0040544B"/>
    <w:rsid w:val="00407AE7"/>
    <w:rsid w:val="00425AE1"/>
    <w:rsid w:val="00446538"/>
    <w:rsid w:val="004471E8"/>
    <w:rsid w:val="004525E8"/>
    <w:rsid w:val="004527F5"/>
    <w:rsid w:val="00455F57"/>
    <w:rsid w:val="00456AED"/>
    <w:rsid w:val="004627E4"/>
    <w:rsid w:val="004714F2"/>
    <w:rsid w:val="004E32D5"/>
    <w:rsid w:val="004F5627"/>
    <w:rsid w:val="004F762B"/>
    <w:rsid w:val="00525BCE"/>
    <w:rsid w:val="00556D72"/>
    <w:rsid w:val="00566D56"/>
    <w:rsid w:val="0057293A"/>
    <w:rsid w:val="005B40CF"/>
    <w:rsid w:val="005C3E51"/>
    <w:rsid w:val="005D487B"/>
    <w:rsid w:val="005D65C6"/>
    <w:rsid w:val="005E60D6"/>
    <w:rsid w:val="00602AB4"/>
    <w:rsid w:val="006214FA"/>
    <w:rsid w:val="00677B59"/>
    <w:rsid w:val="006A35CC"/>
    <w:rsid w:val="006B68E8"/>
    <w:rsid w:val="006C6E56"/>
    <w:rsid w:val="006D135E"/>
    <w:rsid w:val="006F62B6"/>
    <w:rsid w:val="0070178B"/>
    <w:rsid w:val="00791582"/>
    <w:rsid w:val="007A49E6"/>
    <w:rsid w:val="007B0048"/>
    <w:rsid w:val="007C0538"/>
    <w:rsid w:val="007E34F4"/>
    <w:rsid w:val="007F0993"/>
    <w:rsid w:val="00841BC6"/>
    <w:rsid w:val="00847182"/>
    <w:rsid w:val="008B6A19"/>
    <w:rsid w:val="008C2F7D"/>
    <w:rsid w:val="008E6586"/>
    <w:rsid w:val="008F142B"/>
    <w:rsid w:val="008F2EB8"/>
    <w:rsid w:val="008F4CBA"/>
    <w:rsid w:val="00925558"/>
    <w:rsid w:val="00925DA3"/>
    <w:rsid w:val="009267C3"/>
    <w:rsid w:val="009C6CDD"/>
    <w:rsid w:val="009E54B0"/>
    <w:rsid w:val="009F22AC"/>
    <w:rsid w:val="009F26C9"/>
    <w:rsid w:val="00A10519"/>
    <w:rsid w:val="00A16725"/>
    <w:rsid w:val="00A508CC"/>
    <w:rsid w:val="00A57538"/>
    <w:rsid w:val="00A7785A"/>
    <w:rsid w:val="00A77FE2"/>
    <w:rsid w:val="00A84E2F"/>
    <w:rsid w:val="00B22853"/>
    <w:rsid w:val="00B2625D"/>
    <w:rsid w:val="00B423F2"/>
    <w:rsid w:val="00B6101B"/>
    <w:rsid w:val="00B71E78"/>
    <w:rsid w:val="00B80BA2"/>
    <w:rsid w:val="00BA397F"/>
    <w:rsid w:val="00BA4ADD"/>
    <w:rsid w:val="00BA5991"/>
    <w:rsid w:val="00BB4A51"/>
    <w:rsid w:val="00C2563D"/>
    <w:rsid w:val="00C51C35"/>
    <w:rsid w:val="00C9587B"/>
    <w:rsid w:val="00CC56F2"/>
    <w:rsid w:val="00CE7504"/>
    <w:rsid w:val="00D25E13"/>
    <w:rsid w:val="00D313CF"/>
    <w:rsid w:val="00D40AEC"/>
    <w:rsid w:val="00D650F0"/>
    <w:rsid w:val="00DF3B49"/>
    <w:rsid w:val="00E034E2"/>
    <w:rsid w:val="00E67C6F"/>
    <w:rsid w:val="00EC06F2"/>
    <w:rsid w:val="00ED16C2"/>
    <w:rsid w:val="00EF2326"/>
    <w:rsid w:val="00F23121"/>
    <w:rsid w:val="00F32035"/>
    <w:rsid w:val="00F34F64"/>
    <w:rsid w:val="00F4176F"/>
    <w:rsid w:val="00FB6A2C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-text">
    <w:name w:val="lead-text"/>
    <w:basedOn w:val="Normalny"/>
    <w:rsid w:val="007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5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0538"/>
    <w:rPr>
      <w:color w:val="0000FF"/>
      <w:u w:val="single"/>
    </w:rPr>
  </w:style>
  <w:style w:type="character" w:customStyle="1" w:styleId="sr-only">
    <w:name w:val="sr-only"/>
    <w:basedOn w:val="Domylnaczcionkaakapitu"/>
    <w:rsid w:val="007C0538"/>
  </w:style>
  <w:style w:type="character" w:customStyle="1" w:styleId="fico">
    <w:name w:val="fico"/>
    <w:basedOn w:val="Domylnaczcionkaakapitu"/>
    <w:rsid w:val="007C0538"/>
  </w:style>
  <w:style w:type="character" w:styleId="Odwoaniedokomentarza">
    <w:name w:val="annotation reference"/>
    <w:basedOn w:val="Domylnaczcionkaakapitu"/>
    <w:uiPriority w:val="99"/>
    <w:semiHidden/>
    <w:rsid w:val="00A57538"/>
    <w:rPr>
      <w:rFonts w:cs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A57538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57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A7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A77FE2"/>
  </w:style>
  <w:style w:type="paragraph" w:styleId="Stopka">
    <w:name w:val="footer"/>
    <w:basedOn w:val="Normalny"/>
    <w:link w:val="StopkaZnak"/>
    <w:uiPriority w:val="99"/>
    <w:unhideWhenUsed/>
    <w:rsid w:val="00A77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FE2"/>
  </w:style>
  <w:style w:type="paragraph" w:styleId="Tekstdymka">
    <w:name w:val="Balloon Text"/>
    <w:basedOn w:val="Normalny"/>
    <w:link w:val="TekstdymkaZnak"/>
    <w:uiPriority w:val="99"/>
    <w:semiHidden/>
    <w:unhideWhenUsed/>
    <w:rsid w:val="00A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F26C9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78B"/>
  </w:style>
  <w:style w:type="paragraph" w:styleId="Tekstpodstawowy">
    <w:name w:val="Body Text"/>
    <w:basedOn w:val="Normalny"/>
    <w:link w:val="TekstpodstawowyZnak"/>
    <w:uiPriority w:val="1"/>
    <w:qFormat/>
    <w:rsid w:val="00204F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4FDB"/>
    <w:rPr>
      <w:rFonts w:ascii="Calibri" w:eastAsia="Calibri" w:hAnsi="Calibri" w:cs="Calibri"/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204FDB"/>
    <w:pPr>
      <w:widowControl w:val="0"/>
      <w:autoSpaceDE w:val="0"/>
      <w:autoSpaceDN w:val="0"/>
      <w:spacing w:after="0" w:line="240" w:lineRule="auto"/>
      <w:ind w:left="116" w:hanging="3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04FD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igw.wroclaw.pl/zloz-wniosek/cieple-mieszkanie-ii/w_701,dokumenty-program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inne-programy/cieple-mieszkanie/pytania-i-odpowiedzi/beneficjent-koncow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3387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msluzewska</dc:creator>
  <cp:lastModifiedBy>msluzewska</cp:lastModifiedBy>
  <cp:revision>64</cp:revision>
  <cp:lastPrinted>2022-12-29T12:26:00Z</cp:lastPrinted>
  <dcterms:created xsi:type="dcterms:W3CDTF">2022-12-22T14:43:00Z</dcterms:created>
  <dcterms:modified xsi:type="dcterms:W3CDTF">2024-08-08T11:02:00Z</dcterms:modified>
</cp:coreProperties>
</file>