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cs="F1"/>
        </w:rPr>
      </w:pPr>
      <w:r>
        <w:rPr>
          <w:rFonts w:cs="F1"/>
        </w:rPr>
        <w:t>Załącznik nr 2</w:t>
      </w:r>
    </w:p>
    <w:p>
      <w:pPr>
        <w:pStyle w:val="Normal"/>
        <w:spacing w:lineRule="auto" w:line="240" w:before="0" w:after="0"/>
        <w:jc w:val="right"/>
        <w:rPr>
          <w:rFonts w:cs="F1"/>
        </w:rPr>
      </w:pPr>
      <w:r>
        <w:rPr>
          <w:rFonts w:cs="F1"/>
        </w:rPr>
        <w:t>do Zarządzenia nr 0050.605.20</w:t>
      </w:r>
      <w:r>
        <w:rPr>
          <w:rFonts w:cs="F1"/>
        </w:rPr>
        <w:t>20</w:t>
      </w:r>
      <w:r>
        <w:rPr>
          <w:rFonts w:cs="F1"/>
        </w:rPr>
        <w:t xml:space="preserve">.VIII </w:t>
      </w:r>
    </w:p>
    <w:p>
      <w:pPr>
        <w:pStyle w:val="Normal"/>
        <w:spacing w:lineRule="auto" w:line="240" w:before="0" w:after="0"/>
        <w:jc w:val="right"/>
        <w:rPr>
          <w:rFonts w:cs="F1"/>
        </w:rPr>
      </w:pPr>
      <w:r>
        <w:rPr>
          <w:rFonts w:cs="F1"/>
        </w:rPr>
        <w:t>Prezydenta Miasta Jeleniej Góry</w:t>
      </w:r>
    </w:p>
    <w:p>
      <w:pPr>
        <w:pStyle w:val="Normal"/>
        <w:spacing w:lineRule="auto" w:line="240" w:before="0" w:after="0"/>
        <w:jc w:val="right"/>
        <w:rPr>
          <w:rFonts w:cs="F1"/>
        </w:rPr>
      </w:pPr>
      <w:r>
        <w:rPr>
          <w:rFonts w:cs="F1"/>
        </w:rPr>
        <w:t>z dnia 06 sierpnia 2020 roku</w:t>
      </w:r>
    </w:p>
    <w:p>
      <w:pPr>
        <w:pStyle w:val="Normal"/>
        <w:spacing w:lineRule="auto" w:line="240" w:before="0" w:after="0"/>
        <w:rPr>
          <w:rFonts w:cs="F1"/>
          <w:b/>
          <w:b/>
        </w:rPr>
      </w:pPr>
      <w:r>
        <w:rPr>
          <w:rFonts w:cs="F1"/>
          <w:b/>
        </w:rPr>
      </w:r>
    </w:p>
    <w:p>
      <w:pPr>
        <w:pStyle w:val="Normal"/>
        <w:spacing w:lineRule="auto" w:line="240" w:before="0" w:after="0"/>
        <w:jc w:val="center"/>
        <w:rPr>
          <w:rFonts w:cs="F1"/>
          <w:b/>
          <w:b/>
        </w:rPr>
      </w:pPr>
      <w:r>
        <w:rPr>
          <w:rFonts w:cs="F1"/>
          <w:b/>
        </w:rPr>
        <w:t xml:space="preserve">REGULAMIN OTWARTEGO NABORU OFERT NA WYBÓR PARTNERÓW DO PRZYGOTOWANIA </w:t>
        <w:br/>
        <w:t>I REALIZACJI PROJEKTU PN. „ŻYJ, MIESZKAJ, PRACUJ W JELENIEJ GÓRZE”</w:t>
      </w:r>
    </w:p>
    <w:p>
      <w:pPr>
        <w:pStyle w:val="Normal"/>
        <w:spacing w:lineRule="auto" w:line="240" w:before="0" w:after="0"/>
        <w:jc w:val="center"/>
        <w:rPr>
          <w:rFonts w:cs="F1"/>
          <w:b/>
          <w:b/>
        </w:rPr>
      </w:pPr>
      <w:r>
        <w:rPr>
          <w:rFonts w:cs="F1"/>
          <w:b/>
        </w:rPr>
      </w:r>
    </w:p>
    <w:p>
      <w:pPr>
        <w:pStyle w:val="Normal"/>
        <w:spacing w:lineRule="auto" w:line="240" w:before="0" w:after="0"/>
        <w:jc w:val="center"/>
        <w:rPr>
          <w:rFonts w:cs="F1"/>
          <w:b/>
          <w:b/>
        </w:rPr>
      </w:pPr>
      <w:r>
        <w:rPr>
          <w:rFonts w:cs="F1"/>
          <w:b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b/>
          <w:bCs/>
          <w:color w:val="000000"/>
        </w:rPr>
        <w:t>Rozdział 1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t>Postanowienia ogólne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Miasto Jelenia Góra przystąpiło do prac nad opracowaniem Kompletnej Propozycji Projektu pn.: „Żyj, mieszkaj, pracuj w Jeleniej Górze” wraz z załącznikami tj. Planem Rozwoju Lokalnego </w:t>
        <w:br/>
        <w:t xml:space="preserve">i Planem Rozwoju Instytucjonalnego w ramach Programu „Rozwój Lokalny”, finansowanego ze środków Mechanizmu Finansowego Europejskiego Obszaru Gospodarczego 2014-2021 </w:t>
        <w:br/>
        <w:t xml:space="preserve">i Norweskiego Mechanizmu Finansowego 2014-2021.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cs="Calibri"/>
        </w:rPr>
      </w:pPr>
      <w:r>
        <w:rPr>
          <w:rFonts w:cs="Calibri"/>
          <w:color w:val="000000"/>
        </w:rPr>
        <w:t>Celem głównym projektu jest wzrost poziomu życia mieszkańców Jeleniej Góry, poprawa funkcjonowania miasta jako miejsca atrakcyjnego do życia i pracy</w:t>
      </w:r>
      <w:r>
        <w:rPr>
          <w:rFonts w:cs="Calibri"/>
        </w:rPr>
        <w:t xml:space="preserve"> oraz podniesienie poziomu kompetencji, jakości świadczonych usług i odpowiedzialności administracji publicznej.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Wnioskodawcą i Liderem projektu będzie Miasto Jelenia Góra.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Calibri" w:hAnsi="Calibri" w:eastAsia="Calibri" w:cs="Calibri"/>
          <w:color w:val="000000"/>
        </w:rPr>
      </w:pPr>
      <w:r>
        <w:rPr>
          <w:rFonts w:cs="Calibri"/>
          <w:color w:val="000000"/>
        </w:rPr>
        <w:t xml:space="preserve">Zgodnie z Regulaminem naboru i wyboru projektów w ramach Programu „Rozwój Lokalny”, część zadań zaplanowanych w ramach projektu </w:t>
      </w:r>
      <w:r>
        <w:rPr>
          <w:rFonts w:eastAsia="Calibri" w:cs="Calibri"/>
          <w:color w:val="000000"/>
        </w:rPr>
        <w:t>„Żyj, mieszkaj, pracuj w Jeleniej Górze” realizowana będzie (w przypadku pozyskania dofinansowania) przez partnerów, w oparciu o środki pochodzące z dofinansowania w ramach Mechanizmu Finansowego Europejskiego Obszaru Gospodarczego 2014-2021 i Norweskiego Mechanizmu Finansowego 2014-2021. Dofinansowanie dla wydatków kwalifikowanych w ramach projektu wynosić będzie 100% (85% ze środków Funduszy Norweskich i Funduszy EOG oraz 15 % ze środków z  budżetu państwa).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Celem otwartego naboru jest wyłonienie partnera/partnerów projektu pochodzących spoza sektora finansów publicznych, którzy będą współpracować z Miastem Jelenia Góra na etapie przygotowania i realizacji projektu </w:t>
      </w:r>
      <w:r>
        <w:rPr>
          <w:rFonts w:eastAsia="Calibri" w:cs="Calibri"/>
          <w:color w:val="000000"/>
        </w:rPr>
        <w:t>„Żyj, mieszkaj, pracuj w Jeleniej Górze”.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b/>
          <w:bCs/>
          <w:color w:val="000000"/>
        </w:rPr>
        <w:t>Rozdział 2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t>Cele rozwoju miasta i cel partnerstwa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oparciu o wyniki analiz i badań, przeprowadzonych na etapie diagnozy sytuacji w mieście Jelenia Góra, wyznaczono następujące cele rozwoju miasta:</w:t>
      </w:r>
    </w:p>
    <w:p>
      <w:pPr>
        <w:pStyle w:val="ListParagraph"/>
        <w:numPr>
          <w:ilvl w:val="0"/>
          <w:numId w:val="2"/>
        </w:numPr>
        <w:spacing w:lineRule="auto" w:line="240" w:before="0" w:after="3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Strategiczne cele rozwoju miasta:</w:t>
      </w:r>
    </w:p>
    <w:p>
      <w:pPr>
        <w:pStyle w:val="ListParagraph"/>
        <w:numPr>
          <w:ilvl w:val="1"/>
          <w:numId w:val="2"/>
        </w:numPr>
        <w:spacing w:before="0" w:after="30"/>
        <w:contextualSpacing/>
        <w:jc w:val="both"/>
        <w:rPr>
          <w:rFonts w:cs="Calibri"/>
          <w:i/>
          <w:i/>
          <w:color w:val="000000"/>
        </w:rPr>
      </w:pPr>
      <w:r>
        <w:rPr>
          <w:rFonts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 xml:space="preserve">Jelenia Góra: EKO-logiczny wybór. Poprawa atrakcyjności i jakości życia, </w:t>
        <w:br/>
        <w:t xml:space="preserve">z uwzględnieniem wyzwań demograficznych i potencjałów środowiska przyrodniczego; </w:t>
      </w:r>
    </w:p>
    <w:p>
      <w:pPr>
        <w:pStyle w:val="ListParagraph"/>
        <w:numPr>
          <w:ilvl w:val="1"/>
          <w:numId w:val="2"/>
        </w:numPr>
        <w:spacing w:lineRule="auto" w:line="240" w:before="0" w:after="30"/>
        <w:contextualSpacing/>
        <w:jc w:val="both"/>
        <w:rPr>
          <w:rFonts w:cs="Calibri"/>
          <w:i/>
          <w:i/>
          <w:color w:val="000000"/>
        </w:rPr>
      </w:pPr>
      <w:r>
        <w:rPr>
          <w:rFonts w:cs="Calibri"/>
          <w:i/>
          <w:color w:val="000000"/>
        </w:rPr>
        <w:t>Jelenia GÓRĄ możliwości. Zwiększenie konkurencyjności i atrakcyjności gospodarczej Jeleniej Góry;</w:t>
      </w:r>
    </w:p>
    <w:p>
      <w:pPr>
        <w:pStyle w:val="ListParagraph"/>
        <w:numPr>
          <w:ilvl w:val="1"/>
          <w:numId w:val="2"/>
        </w:numPr>
        <w:spacing w:lineRule="auto" w:line="240" w:before="0" w:after="30"/>
        <w:contextualSpacing/>
        <w:jc w:val="both"/>
        <w:rPr>
          <w:rFonts w:cs="Calibri"/>
          <w:i/>
          <w:i/>
          <w:color w:val="000000"/>
        </w:rPr>
      </w:pPr>
      <w:r>
        <w:rPr>
          <w:rFonts w:cs="Calibri"/>
          <w:i/>
          <w:color w:val="000000"/>
        </w:rPr>
        <w:t xml:space="preserve">Potencjał z widokiem na przyszłość. Budowa społeczeństwa obywatelskiego </w:t>
        <w:br/>
        <w:t>i tożsamości lokalnej.</w:t>
      </w:r>
    </w:p>
    <w:p>
      <w:pPr>
        <w:pStyle w:val="ListParagraph"/>
        <w:numPr>
          <w:ilvl w:val="0"/>
          <w:numId w:val="2"/>
        </w:numPr>
        <w:spacing w:lineRule="auto" w:line="240" w:before="0" w:after="3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Cele rozwoju instytucjonalnego miasta:</w:t>
      </w:r>
    </w:p>
    <w:p>
      <w:pPr>
        <w:pStyle w:val="ListParagraph"/>
        <w:numPr>
          <w:ilvl w:val="1"/>
          <w:numId w:val="2"/>
        </w:numPr>
        <w:spacing w:lineRule="auto" w:line="240" w:before="0" w:after="30"/>
        <w:contextualSpacing/>
        <w:jc w:val="both"/>
        <w:rPr>
          <w:rFonts w:cs="Calibri"/>
          <w:i/>
          <w:i/>
          <w:color w:val="000000"/>
        </w:rPr>
      </w:pPr>
      <w:r>
        <w:rPr>
          <w:rFonts w:cs="Calibri"/>
          <w:i/>
          <w:color w:val="000000"/>
        </w:rPr>
        <w:t>Poprawa jakości i dostępności usług publicznych;</w:t>
      </w:r>
    </w:p>
    <w:p>
      <w:pPr>
        <w:pStyle w:val="ListParagraph"/>
        <w:numPr>
          <w:ilvl w:val="1"/>
          <w:numId w:val="2"/>
        </w:numPr>
        <w:spacing w:lineRule="auto" w:line="240" w:before="0" w:after="30"/>
        <w:contextualSpacing/>
        <w:jc w:val="both"/>
        <w:rPr>
          <w:rFonts w:cs="Calibri"/>
          <w:i/>
          <w:i/>
          <w:color w:val="000000"/>
        </w:rPr>
      </w:pPr>
      <w:r>
        <w:rPr>
          <w:rFonts w:cs="Calibri"/>
          <w:i/>
          <w:color w:val="000000"/>
        </w:rPr>
        <w:t>Rozwój dialogu społecznego.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cs="Calibri"/>
          <w:color w:val="000000"/>
        </w:rPr>
        <w:t xml:space="preserve">2. Celem partnerstwa jest wspólne przygotowanie i realizacja projektu </w:t>
      </w:r>
      <w:r>
        <w:rPr>
          <w:rFonts w:eastAsia="Calibri" w:cs="Calibri"/>
          <w:color w:val="000000"/>
        </w:rPr>
        <w:t xml:space="preserve">„Żyj, mieszkaj, pracuj </w:t>
        <w:br/>
        <w:t>w Jeleniej Górze”, poprzez działania w obszarach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środowiskowym (w tym m.in. zielone, czyste i ekologiczne miasto, edukacja ekologiczna </w:t>
        <w:br/>
        <w:t>i przyrodnicza),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color w:val="000000"/>
        </w:rPr>
        <w:t>społecznym (w tym m.in. polityka senioralna, poprawa dostępności, promowanie równych szans, integracja społeczna, współpraca społeczności lokalnej, działania edukacyjno - aktywizujące dla dzieci i młodzieży</w:t>
      </w:r>
      <w:r>
        <w:rPr>
          <w:rFonts w:cs="Calibri"/>
          <w:color w:val="000000"/>
        </w:rPr>
        <w:t xml:space="preserve">, zachęcenie mieszkańców do dialogu społecznego </w:t>
        <w:br/>
        <w:t>i włączenia się w rozwój miasta i działań lokalnych, walka z zagrożeniami i patologiami występującymi w mieście</w:t>
      </w:r>
      <w:r>
        <w:rPr>
          <w:rFonts w:eastAsia="Calibri" w:cs="Calibri"/>
          <w:color w:val="000000"/>
        </w:rPr>
        <w:t xml:space="preserve">),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color w:val="000000"/>
        </w:rPr>
        <w:t>gospodarczym (w tym m.in. konkurencyjność i atrakcyjność rynkowa gospodarki Jeleniej Góry, działania edukacyjno-aktywizujące dla mieszkańców,</w:t>
      </w:r>
      <w:r>
        <w:rPr>
          <w:rFonts w:cs="Calibri"/>
          <w:color w:val="000000"/>
        </w:rPr>
        <w:t xml:space="preserve"> wspieranie przedsiębiorczości),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color w:val="000000"/>
        </w:rPr>
        <w:t>kulturowym (w tym m.in. działania edukacyjno - aktywizujące, wydarzenia i inicjatywy integrujące mieszkańców),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color w:val="000000"/>
        </w:rPr>
        <w:t>przestrzennym (w tym m.in. ożywienie centrum miasta, wykorzystanie potencjału Rynku jako ważnego centrum funkcjonalnego i miejsca spotkań mieszkańców i turystów, atrakcyjne przestrzenie publiczne),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color w:val="000000"/>
        </w:rPr>
        <w:t>inteligentnego zarządzania miastem (w tym rozwój miasta inteligentnego).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color w:val="000000"/>
        </w:rPr>
        <w:t>prowadzonych na rzecz osiągnięcia celów rozwoju miasta, określonych w pkt. 1.</w:t>
      </w:r>
    </w:p>
    <w:p>
      <w:pPr>
        <w:pStyle w:val="Normal"/>
        <w:spacing w:lineRule="auto" w:line="240" w:before="0" w:after="30"/>
        <w:jc w:val="both"/>
        <w:rPr>
          <w:rFonts w:cs="Calibri"/>
          <w:i/>
          <w:i/>
          <w:color w:val="000000"/>
        </w:rPr>
      </w:pPr>
      <w:r>
        <w:rPr>
          <w:rFonts w:cs="Calibri"/>
          <w:i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b/>
          <w:bCs/>
          <w:color w:val="000000"/>
        </w:rPr>
        <w:t>Rozdział 3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t>Wymagania względem partnerów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Nabór skierowany jest do podmiotów spoza sektora finansów publicznych, którzy prowadzą swoją działalność na terenie miasta Jelenia Góra.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Od partnerów oczekuje się aktywnego zaangażowania we wspólne przygotowanie i realizację projektu </w:t>
      </w:r>
      <w:r>
        <w:rPr>
          <w:rFonts w:eastAsia="Calibri" w:cs="Calibri"/>
          <w:color w:val="000000"/>
        </w:rPr>
        <w:t>„Żyj, mieszkaj, pracuj w Jeleniej Górze” na rzecz osiągnięcia celu projektu i celów rozwoju miasta.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Wspólne przygotowanie i realizacja projektu polegać będzie na wniesieniu przez partnerów do projektu zasobów ludzkich, organizacyjnych, technicznych lub finansowych, które będą adekwatne do zakresu realizowanych przez partnerów działań.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Poszukiwani partnerzy to:  organizacje pozarządowe, instytucje otoczenia biznesu, stowarzyszenia przedsiębiorców, spółdzielnie mieszkaniowe oraz inne podmioty, których działalność prowadzona jest w obszarach określonych w Rozdziale 2 pkt. 2 niniejszego Regulaminu.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Partnerami nie mogą być osoby fizyczne, spółki cywilne, spółki prawa handlowego, z wyjątkiem komunalnych i państwowych osób prawnych oraz towarzystw budownictwa społecznego.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Partnerem nie może być podmiot wykluczony z możliwości otrzymania dofinansowania, </w:t>
        <w:br/>
        <w:t>w szczególności na podstawie art. 207 ust. 4 ustawy z dnia 27 sierpnia 2009 r. o finansach publicznych (Dz. U. z 2019 poz. 869).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Potencjalni partnerzy zobowiązani są do spełnienia wymaganych kryteriów wyboru partnerów określonych w Rozdziale 4 niniejszego Regulaminu.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Podmioty, które zostaną wybrane do pełnienia roli partnera, będą brały udział w przygotowaniu projektu „</w:t>
      </w:r>
      <w:r>
        <w:rPr>
          <w:rFonts w:eastAsia="Calibri" w:cs="Calibri"/>
          <w:color w:val="000000"/>
        </w:rPr>
        <w:t>Żyj, mieszkaj, pracuj w Jeleniej Górze”, a ewentualnie zgłoszone przez nie propozycje przedsięwzięć będą przedmiotem analizy i doprecyzowania na etapie planowania ostatecznego kształtu projektu.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b/>
          <w:bCs/>
          <w:color w:val="000000"/>
        </w:rPr>
        <w:t>Rozdział 4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t>Kryteria wyboru partnerów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Przy wyborze partnerów będą brane pod uwagę następujące kryteria: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Kryteria formalne (obligatoryjne):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Złożenie formularza oferty dotyczącego wyboru partnerów do przygotowania i realizacji projektu </w:t>
      </w:r>
      <w:r>
        <w:rPr>
          <w:rFonts w:eastAsia="Calibri" w:cs="Calibri"/>
          <w:color w:val="000000"/>
        </w:rPr>
        <w:t xml:space="preserve">„Żyj, mieszkaj, pracuj w Jeleniej Górze” </w:t>
      </w:r>
      <w:r>
        <w:rPr>
          <w:rFonts w:cs="Calibri"/>
          <w:color w:val="000000"/>
        </w:rPr>
        <w:t xml:space="preserve">(załącznik nr 1 do Regulaminu) w terminie </w:t>
        <w:br/>
        <w:t>i miejscu wskazanym w §5 niniejszego Regulaminu,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Przedłożenie statutu lub innego dokumentu regulującego zadania, strukturę organizacyjną </w:t>
        <w:br/>
        <w:t>i sposób działania potencjalnego partnera;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Dołączenia pełnomocnictwa do reprezentowania potencjalnego partnera (jeśli dotyczy).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Kryteria merytoryczne: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Zgodność działania potencjalnego partnera z obszarami działań, o których mowa w Rozdziale 2 pkt. 2 niniejszego Regulaminu,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Wkład potencjalnego partnera w realizację celu partnerstwa (zasoby ludzkie, organizacyjne, techniczne, finansowe itp.),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Doświadczenie potencjalnego partnera w realizacji projektów o podobnym charakterze </w:t>
        <w:br/>
        <w:t>w ciągu ostatnich 5 lat, w tym współfinansowanych ze środków zewnętrznych,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Przewidywane rezultaty partnerstwa w ramach projektu </w:t>
      </w:r>
      <w:r>
        <w:rPr>
          <w:rFonts w:eastAsia="Calibri" w:cs="Calibri"/>
          <w:color w:val="000000"/>
        </w:rPr>
        <w:t>„Żyj, mieszkaj, pracuj w Jeleniej Górze” w odniesieniu do celu projektu oraz celu /celów rozwoju miasta Jelenia Góra.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b/>
          <w:bCs/>
          <w:color w:val="000000"/>
        </w:rPr>
        <w:t>Rozdział 5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t>Sposób przygotowania i złożenia oferty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Podmiot ubiegający się o wybór na partnera w procedurze otwartego naboru jest zobowiązany do przedłożenia dokumentów wskazanych w Rozdziale 4 pkt. 1 niniejszego Regulaminu.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Oferty musza być opatrzone pieczęcią podmiotu, aktualną datą, własnoręcznym podpisem osoby/osób uprawnionej/ych do reprezentowania potencjalnego partnera.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Oferty należy sporządzić w formie pisemnej w języku polskim.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Wszystkie niezbędne dokumenty należy dostarczyć do Urzędu Miasta Jelenia Góra, wybierając jedną z poniższych możliwości: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przesłać skany podpisanych dokumentów za pośrednictwem poczty elektronicznej (e-mail) na adres: acichon@jeleniagora.pl - w tytule wiadomości należy wpisać: „NABÓR OFERT NA PARTNERA – ROZWÓJ LOKALNY”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przesłać za pomoczą poczty tradycyjnej lub złożyć osobiście dokumenty w nieprzezroczystej, zabezpieczonej przed otwarciem kopercie z opisem: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„NABÓR OFERT NA PARTNERA – ROZWÓJ LOKALNY”,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-nazwa i adres Wykonawcy.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 adres: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Urząd Miasta Jelenia Góra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Wydział Rozwoju Miasta, pok. 210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Plac Ratuszowy 58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58-500 Jelenia Góra 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Oferty należy składać w terminie </w:t>
      </w:r>
      <w:r>
        <w:rPr>
          <w:rFonts w:cs="Calibri"/>
          <w:b/>
          <w:color w:val="000000"/>
        </w:rPr>
        <w:t>do dnia 31.08.2020 roku do godz. 15:30</w:t>
      </w:r>
      <w:r>
        <w:rPr>
          <w:rFonts w:cs="Calibri"/>
          <w:color w:val="000000"/>
        </w:rPr>
        <w:t xml:space="preserve"> (decyduje data wpływu do Urzędu).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eastAsia="Times New Roman" w:cs="Calibri"/>
        </w:rPr>
        <w:t>Osobami do kontaktu z Urzędu Miasta Jelenia Góra są: Pani Anna Cichoń, tel. 75 75 46 193 lub Pani Milena Wolska, Tel. 75 75 46 196.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Komisja może wezwać potencjalnego partnera do uzupełnienia oferty, jeśli zostanie ona złożona w sposób niekompletny.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Oferty złożone po upływie terminu nie będą rozpatrywane.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b/>
          <w:bCs/>
          <w:color w:val="000000"/>
        </w:rPr>
        <w:t>Rozdział 6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t>Procedura wyboru partnerów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Wybór partnerów do przygotowania i realizacji projektu  </w:t>
      </w:r>
      <w:r>
        <w:rPr>
          <w:rFonts w:eastAsia="Calibri" w:cs="Calibri"/>
          <w:color w:val="000000"/>
        </w:rPr>
        <w:t xml:space="preserve">„Żyj, mieszkaj, pracuj w Jeleniej Górze” </w:t>
      </w:r>
      <w:r>
        <w:rPr>
          <w:rFonts w:cs="Calibri"/>
          <w:color w:val="000000"/>
        </w:rPr>
        <w:t>przeprowadza Komisja powołana przez Prezydenta Miasta Jeleniej Góry.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Komisja rozpoczyna działalność z dniem powołania. Jej pracami kieruje Przewodniczący Komisji.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Komisja podejmuje rozstrzygnięcia zwykłą większością głosów.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Każdy z członków Komisji weryfikuje oferty zgłoszone przez potencjalnych partnerów w drodze otwartego naboru, pod względem formalnym i merytorycznym, według kryteriów określonych w Rozdziale 4 niniejszego Regulaminu.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5. W pierwszym etapie naboru Komisja: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a) stwierdza liczbę złożonych ofert;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b) otwiera oferty,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c) ocenia oferty pod względem formalnym, a w przypadku, gdy zgłoszone oferty nie są kompletne z przyczyn formalnych Komisja może wezwać potencjalnych partnerów do ich uzupełnienia.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6. W drugim etapie naboru, Komisja: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a) analizuje merytoryczną zawartość ofert,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b) przyznaje odpowiednią liczbę punktów, zgodnie z poniższą punktacją: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Zgodność działania potencjalnego partnera z obszarami działań, o których mowa w Rozdziale 2 pkt. 2 niniejszego Regulaminu (0-1 pkt.): 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-profil/misja zgodna z obszarami działań – 1 pkt.,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Wkład potencjalnego partnera w realizację celu partnerstwa (zasoby ludzkie, organizacyjne, techniczne, finansowe): (0-4 pkt.),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Doświadczenie potencjalnego partnera w realizacji projektów o podobnym charakterze </w:t>
        <w:br/>
        <w:t>w ciągu ostatnich 5 lat, w tym współfinansowanych ze środków zewnętrznych (0-3 pkt.):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do 3 zrealizowanych projektów – 1 pkt.,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do 5 zrealizowanych projektów – 2 pkt.,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powyżej 5 zrealizowanych projektów – 3 pkt.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Przewidywane rezultaty partnerstwa w ramach projektu  </w:t>
      </w:r>
      <w:r>
        <w:rPr>
          <w:rFonts w:eastAsia="Calibri" w:cs="Calibri"/>
          <w:color w:val="000000"/>
        </w:rPr>
        <w:t>„Żyj, mieszkaj, pracuj w Jeleniej Górze” w odniesieniu do celu projektu oraz celu /celów rozwoju miasta Jelenia Góra</w:t>
      </w:r>
      <w:r>
        <w:rPr>
          <w:rFonts w:cs="Calibri"/>
          <w:color w:val="000000"/>
        </w:rPr>
        <w:t xml:space="preserve"> (0-2 pkt.):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-przewidywane rezultaty partnerstwa przyczynią się do realizacji celu projektu poprzez realizację jednego z celów rozwoju miasta– 1 pkt.,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-przewidywane rezultaty partnerstwa przyczynią się do realizacji celu projektu poprzez realizację więcej niż jednego z celów rozwoju miasta– 2 pkt.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c) wskazuje najwyżej oceniane oferty i wyłania partnera/partnerów projektu </w:t>
      </w:r>
      <w:r>
        <w:rPr>
          <w:rFonts w:eastAsia="Calibri" w:cs="Calibri"/>
          <w:color w:val="000000"/>
        </w:rPr>
        <w:t>„Żyj, mieszkaj, pracuj w Jeleniej Górze”.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d) w przypadku zamknięcia procedury oceny ofert i nie wyłonienia partnera, Miasto Jelenia Góra może ponowić ogłoszenie naboru w celu wyłonienia partnerów.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 przebiegu naboru Komisja sporządza protokół, który powinien zawierać: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a) imiona i nazwiska Członków Komisji,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b) liczbę zgłoszonych ofert,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c) wskazanie ofert najkorzystniejszych,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d) ewentualne uwagi Członków Komisji,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e) podpisy Członków Komisji.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Komisja na podstawie protokołu rekomenduje Prezydentowi Miasta Jeleniej Góry wybór partnera/partnerów do wspólnego przygotowania i realizacji projektu pn.: </w:t>
      </w:r>
      <w:r>
        <w:rPr>
          <w:rFonts w:eastAsia="Calibri" w:cs="Calibri"/>
          <w:color w:val="000000"/>
        </w:rPr>
        <w:t>„Żyj, mieszkaj, pracuj w Jeleniej Górze”.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Komisja ulega rozwiązaniu po rozstrzygnięciu naboru i wyłonieniu partnera/partnerów do wspólnego przygotowania i realizacji projektu.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Informacja o podmiocie/podmiotach, które zostaną wyłonione w wyniku rozstrzygnięcia naboru, będzie opublikowana na stronie internetowej Miasta Jelenia Góra.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b/>
          <w:bCs/>
          <w:color w:val="000000"/>
        </w:rPr>
        <w:t>Rozdział 7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t>Postanowienia końcowe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Od rozstrzygnięcia wyborów partnerów nie przysługuje odwołanie.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Zastrzega się możliwość nie rozstrzygnięcia naboru ofert bez podania przyczyn.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 wyłonionymi w drodze naboru partnerami podpisany zostanie list intencyjny, wskazujący na podział zadań i rolę każdego z partnerów w projekcie, który stanowić będzie załącznik do </w:t>
      </w:r>
      <w:r>
        <w:rPr>
          <w:rFonts w:eastAsia="Calibri" w:cs="Calibri"/>
          <w:color w:val="000000"/>
        </w:rPr>
        <w:t>Kompletnej Propozycji Projektu</w:t>
      </w:r>
      <w:r>
        <w:rPr>
          <w:rFonts w:cs="Calibri"/>
          <w:color w:val="000000"/>
        </w:rPr>
        <w:t xml:space="preserve"> pn. </w:t>
      </w:r>
      <w:r>
        <w:rPr>
          <w:rFonts w:eastAsia="Calibri" w:cs="Calibri"/>
          <w:color w:val="000000"/>
        </w:rPr>
        <w:t>„Żyj, mieszkaj, pracuj w Jeleniej Górze”.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Partnerstwo zainicjowane na podstawie listu intencyjnego zawarte zostanie na okres przygotowania projektu (co najmniej do czasu pozyskania informacji o wynikach oceny merytorycznej projektów w ramach Programu „Rozwój Lokalny” i upublicznienia listy rankingowej projektów).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 przypadku nie uzyskania dofinansowania dla projektu </w:t>
      </w:r>
      <w:r>
        <w:rPr>
          <w:rFonts w:eastAsia="Calibri" w:cs="Calibri"/>
          <w:color w:val="000000"/>
        </w:rPr>
        <w:t>„Żyj, mieszkaj, pracuj w Jeleniej Górze” listy intencyjne z partnerami zostają automatycznie rozwiązane.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 przypadku otrzymania pozytywnej decyzji o dofinansowaniu projektu </w:t>
      </w:r>
      <w:r>
        <w:rPr>
          <w:rFonts w:eastAsia="Calibri" w:cs="Calibri"/>
          <w:color w:val="000000"/>
        </w:rPr>
        <w:t xml:space="preserve">„Żyj, mieszkaj, pracuj w Jeleniej Górze” w ramach Programu „Rozwój Lokalny”, z partnerami zawarte zostaną umowy partnerskie ściśle regulujące wszystkie kwestie związane z realizacją projektu. </w:t>
      </w:r>
    </w:p>
    <w:p>
      <w:pPr>
        <w:pStyle w:val="Normal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Załączniki: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Załącznik  nr  1 do Regulaminu – </w:t>
      </w:r>
      <w:r>
        <w:rPr>
          <w:rFonts w:cs="Calibri"/>
          <w:bCs/>
          <w:color w:val="000000"/>
        </w:rPr>
        <w:t xml:space="preserve">Formularz oferty </w:t>
      </w:r>
      <w:r>
        <w:rPr>
          <w:rFonts w:cs="Calibri"/>
          <w:color w:val="000000"/>
        </w:rPr>
        <w:t>dotyczący wyboru partnerów do przygotowania i realizacji projektu „</w:t>
      </w:r>
      <w:r>
        <w:rPr>
          <w:rFonts w:eastAsia="Calibri" w:cs="Calibri"/>
          <w:color w:val="000000"/>
        </w:rPr>
        <w:t>Żyj, mieszkaj, pracuj w Jeleniej Górze”.</w:t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465256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lang w:eastAsia="pl-PL"/>
      </w:rPr>
      <w:t xml:space="preserve">     </w:t>
    </w:r>
    <w:r>
      <w:rPr/>
      <w:drawing>
        <wp:inline distT="0" distB="0" distL="0" distR="0">
          <wp:extent cx="1306195" cy="78359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8158" b="8537"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                                                    </w:t>
    </w:r>
    <w:r>
      <w:rPr/>
      <w:drawing>
        <wp:inline distT="0" distB="0" distL="0" distR="0">
          <wp:extent cx="1924050" cy="600075"/>
          <wp:effectExtent l="0" t="0" r="0" b="0"/>
          <wp:docPr id="2" name="Obraz 3" descr="Ewaluacja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Ewaluacja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720"/>
        </w:tabs>
        <w:ind w:left="644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35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8"/>
      <w:numFmt w:val="decimal"/>
      <w:lvlText w:val="%1."/>
      <w:lvlJc w:val="left"/>
      <w:pPr>
        <w:tabs>
          <w:tab w:val="num" w:pos="720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1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2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3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423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d0314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d173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d1736"/>
    <w:rPr/>
  </w:style>
  <w:style w:type="character" w:styleId="BezodstpwZnak" w:customStyle="1">
    <w:name w:val="Bez odstępów Znak"/>
    <w:basedOn w:val="DefaultParagraphFont"/>
    <w:link w:val="Bezodstpw"/>
    <w:uiPriority w:val="1"/>
    <w:qFormat/>
    <w:rsid w:val="00dd1736"/>
    <w:rPr>
      <w:rFonts w:eastAsia="" w:eastAsiaTheme="minorEastAsi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32265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ae0d6c"/>
    <w:rPr>
      <w:color w:val="0000FF" w:themeColor="hyperlink"/>
      <w:u w:val="single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192b33"/>
    <w:rPr>
      <w:rFonts w:ascii="Courier New" w:hAnsi="Courier New" w:eastAsia="Times New Roman" w:cs="Courier New"/>
      <w:color w:val="000000"/>
      <w:sz w:val="20"/>
      <w:szCs w:val="20"/>
      <w:lang w:eastAsia="pl-PL"/>
    </w:rPr>
  </w:style>
  <w:style w:type="character" w:styleId="Appleconvertedspace" w:customStyle="1">
    <w:name w:val="apple-converted-space"/>
    <w:basedOn w:val="DefaultParagraphFont"/>
    <w:qFormat/>
    <w:rsid w:val="004c598e"/>
    <w:rPr/>
  </w:style>
  <w:style w:type="character" w:styleId="AkapitzlistZnak" w:customStyle="1">
    <w:name w:val="Akapit z listą Znak"/>
    <w:link w:val="Akapitzlist"/>
    <w:uiPriority w:val="1"/>
    <w:qFormat/>
    <w:locked/>
    <w:rsid w:val="00502723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46305d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6305d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1"/>
    <w:qFormat/>
    <w:rsid w:val="000b29e1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d17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d17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link w:val="BezodstpwZnak"/>
    <w:uiPriority w:val="1"/>
    <w:qFormat/>
    <w:rsid w:val="00dd1736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322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ad34df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192b3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color w:val="000000"/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46305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8787-2283-4A6B-9F41-4A716E90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LibreOffice/6.4.5.2$Windows_X86_64 LibreOffice_project/a726b36747cf2001e06b58ad5db1aa3a9a1872d6</Application>
  <Pages>5</Pages>
  <Words>1672</Words>
  <Characters>11023</Characters>
  <CharactersWithSpaces>12626</CharactersWithSpaces>
  <Paragraphs>117</Paragraphs>
  <Company>UM Jelenia Góra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2020-08-05T10:38:00Z</dcterms:created>
  <dc:creator>acichon</dc:creator>
  <dc:description/>
  <dc:language>pl-PL</dc:language>
  <cp:lastModifiedBy/>
  <cp:lastPrinted>2020-08-06T09:06:00Z</cp:lastPrinted>
  <dcterms:modified xsi:type="dcterms:W3CDTF">2020-08-07T11:59:45Z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